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525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0911AD" w14:paraId="7CE208D5" w14:textId="77777777" w:rsidTr="00096D75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3BEA" w14:textId="77777777" w:rsidR="000911AD" w:rsidRDefault="000911AD" w:rsidP="000911AD">
            <w:pPr>
              <w:pStyle w:val="Adresse2"/>
              <w:rPr>
                <w:sz w:val="20"/>
              </w:rPr>
            </w:pPr>
            <w:r>
              <w:rPr>
                <w:sz w:val="20"/>
              </w:rPr>
              <w:t>Avenue de la Couronne, 48 • 1050</w:t>
            </w:r>
            <w:r w:rsidRPr="00C01288">
              <w:rPr>
                <w:sz w:val="20"/>
              </w:rPr>
              <w:t xml:space="preserve"> </w:t>
            </w:r>
            <w:r>
              <w:rPr>
                <w:sz w:val="20"/>
              </w:rPr>
              <w:t>Ixelles</w:t>
            </w:r>
          </w:p>
          <w:p w14:paraId="26FAC19A" w14:textId="22186CA8" w:rsidR="00096D75" w:rsidRPr="00C01288" w:rsidRDefault="00560440" w:rsidP="000911AD">
            <w:pPr>
              <w:pStyle w:val="Adresse2"/>
              <w:rPr>
                <w:sz w:val="20"/>
              </w:rPr>
            </w:pPr>
            <w:hyperlink r:id="rId8" w:history="1">
              <w:r w:rsidR="00096D75" w:rsidRPr="00E100CF">
                <w:rPr>
                  <w:rStyle w:val="Lienhypertexte"/>
                  <w:sz w:val="20"/>
                  <w:lang w:val="fr-BE"/>
                </w:rPr>
                <w:t>mathias.elberhoumi@usaintlouis.BE</w:t>
              </w:r>
            </w:hyperlink>
          </w:p>
        </w:tc>
      </w:tr>
    </w:tbl>
    <w:p w14:paraId="58EF5441" w14:textId="77777777" w:rsidR="000911AD" w:rsidRDefault="000911AD" w:rsidP="000911AD">
      <w:pPr>
        <w:rPr>
          <w:caps/>
          <w:spacing w:val="80"/>
          <w:sz w:val="20"/>
        </w:rPr>
      </w:pPr>
    </w:p>
    <w:p w14:paraId="70801C33" w14:textId="77777777" w:rsidR="000911AD" w:rsidRDefault="000911AD" w:rsidP="000911AD">
      <w:pPr>
        <w:pStyle w:val="Titre1"/>
        <w:ind w:left="-720" w:firstLine="720"/>
        <w:jc w:val="center"/>
        <w:rPr>
          <w:b/>
          <w:sz w:val="28"/>
          <w:szCs w:val="28"/>
        </w:rPr>
      </w:pPr>
      <w:r w:rsidRPr="0067094D">
        <w:rPr>
          <w:b/>
          <w:sz w:val="28"/>
          <w:szCs w:val="28"/>
        </w:rPr>
        <w:t>Mathias El Berhoumi</w:t>
      </w:r>
    </w:p>
    <w:p w14:paraId="0476C65F" w14:textId="5652E91E" w:rsidR="00BA63AB" w:rsidRPr="00BA63AB" w:rsidRDefault="009334B7" w:rsidP="00BA63AB">
      <w:pPr>
        <w:pStyle w:val="Corpsdetexte"/>
        <w:jc w:val="center"/>
      </w:pPr>
      <w:r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6"/>
        <w:gridCol w:w="19"/>
        <w:gridCol w:w="6237"/>
      </w:tblGrid>
      <w:tr w:rsidR="000911AD" w14:paraId="4FB786F8" w14:textId="77777777">
        <w:trPr>
          <w:trHeight w:val="142"/>
        </w:trPr>
        <w:tc>
          <w:tcPr>
            <w:tcW w:w="9142" w:type="dxa"/>
            <w:gridSpan w:val="3"/>
            <w:shd w:val="clear" w:color="auto" w:fill="auto"/>
          </w:tcPr>
          <w:p w14:paraId="4CFAE1DC" w14:textId="49515765" w:rsidR="000911AD" w:rsidRDefault="007408D5" w:rsidP="000911AD">
            <w:pPr>
              <w:pStyle w:val="Titredesection"/>
            </w:pPr>
            <w:r>
              <w:t>Informations personnelles</w:t>
            </w:r>
          </w:p>
        </w:tc>
      </w:tr>
      <w:tr w:rsidR="000911AD" w14:paraId="279F593A" w14:textId="77777777">
        <w:trPr>
          <w:trHeight w:val="142"/>
        </w:trPr>
        <w:tc>
          <w:tcPr>
            <w:tcW w:w="2905" w:type="dxa"/>
            <w:gridSpan w:val="2"/>
            <w:shd w:val="clear" w:color="auto" w:fill="auto"/>
          </w:tcPr>
          <w:p w14:paraId="4EC1ADF6" w14:textId="77777777" w:rsidR="000911AD" w:rsidRDefault="000911AD"/>
        </w:tc>
        <w:tc>
          <w:tcPr>
            <w:tcW w:w="6237" w:type="dxa"/>
            <w:shd w:val="clear" w:color="auto" w:fill="auto"/>
          </w:tcPr>
          <w:p w14:paraId="773B9659" w14:textId="77777777" w:rsidR="000911AD" w:rsidRDefault="000911AD" w:rsidP="000911AD">
            <w:pPr>
              <w:pStyle w:val="Russite"/>
              <w:numPr>
                <w:ilvl w:val="0"/>
                <w:numId w:val="0"/>
              </w:numPr>
            </w:pPr>
          </w:p>
          <w:p w14:paraId="4403C852" w14:textId="77777777" w:rsidR="000911AD" w:rsidRDefault="000911AD" w:rsidP="000911AD">
            <w:pPr>
              <w:pStyle w:val="Russite"/>
            </w:pPr>
            <w:r>
              <w:t>Nationalité : Belge</w:t>
            </w:r>
          </w:p>
          <w:p w14:paraId="6028D285" w14:textId="77777777" w:rsidR="000911AD" w:rsidRDefault="000911AD" w:rsidP="000911AD">
            <w:pPr>
              <w:pStyle w:val="Russite"/>
            </w:pPr>
            <w:r>
              <w:t>Date de naissance : 10 octobre 1985</w:t>
            </w:r>
          </w:p>
          <w:p w14:paraId="19212544" w14:textId="3A582FBF" w:rsidR="006E551D" w:rsidRPr="00146C07" w:rsidRDefault="000911AD" w:rsidP="00681455">
            <w:pPr>
              <w:pStyle w:val="Russite"/>
            </w:pPr>
            <w:r>
              <w:t>Lieu de naissance : Tournai</w:t>
            </w:r>
          </w:p>
        </w:tc>
      </w:tr>
      <w:tr w:rsidR="006E551D" w14:paraId="03950399" w14:textId="77777777" w:rsidTr="00492E66">
        <w:trPr>
          <w:trHeight w:val="142"/>
        </w:trPr>
        <w:tc>
          <w:tcPr>
            <w:tcW w:w="9142" w:type="dxa"/>
            <w:gridSpan w:val="3"/>
            <w:shd w:val="clear" w:color="auto" w:fill="auto"/>
          </w:tcPr>
          <w:p w14:paraId="57A582BA" w14:textId="4F088DC0" w:rsidR="006E551D" w:rsidRDefault="006E551D" w:rsidP="00492E66">
            <w:pPr>
              <w:pStyle w:val="Titredesection"/>
            </w:pPr>
            <w:r>
              <w:t>Occupation actuelle</w:t>
            </w:r>
          </w:p>
        </w:tc>
      </w:tr>
      <w:tr w:rsidR="006E551D" w:rsidRPr="00C01CF2" w14:paraId="27F8417E" w14:textId="77777777" w:rsidTr="00492E66">
        <w:trPr>
          <w:trHeight w:val="142"/>
        </w:trPr>
        <w:tc>
          <w:tcPr>
            <w:tcW w:w="2886" w:type="dxa"/>
            <w:shd w:val="clear" w:color="auto" w:fill="auto"/>
          </w:tcPr>
          <w:p w14:paraId="06B7B8E3" w14:textId="7D228B0C" w:rsidR="006E551D" w:rsidRDefault="00A83FF8" w:rsidP="00492E66">
            <w:pPr>
              <w:spacing w:after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partir de </w:t>
            </w:r>
            <w:r w:rsidR="006E551D">
              <w:rPr>
                <w:sz w:val="24"/>
                <w:szCs w:val="24"/>
              </w:rPr>
              <w:t>201</w:t>
            </w:r>
            <w:r w:rsidR="00EA77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-2018</w:t>
            </w:r>
          </w:p>
          <w:p w14:paraId="0C33FE21" w14:textId="77777777" w:rsidR="006E551D" w:rsidRDefault="006E551D" w:rsidP="00492E66">
            <w:pPr>
              <w:rPr>
                <w:sz w:val="24"/>
                <w:szCs w:val="24"/>
              </w:rPr>
            </w:pPr>
          </w:p>
          <w:p w14:paraId="6F4136BB" w14:textId="77777777" w:rsidR="006E551D" w:rsidRDefault="006E551D" w:rsidP="00492E66">
            <w:pPr>
              <w:rPr>
                <w:sz w:val="24"/>
                <w:szCs w:val="24"/>
              </w:rPr>
            </w:pPr>
          </w:p>
          <w:p w14:paraId="33DD8E8F" w14:textId="77777777" w:rsidR="00847540" w:rsidRDefault="00847540" w:rsidP="00492E66">
            <w:pPr>
              <w:rPr>
                <w:sz w:val="24"/>
                <w:szCs w:val="24"/>
              </w:rPr>
            </w:pPr>
          </w:p>
          <w:p w14:paraId="55B2C9B5" w14:textId="77777777" w:rsidR="00847540" w:rsidRDefault="00847540" w:rsidP="00492E66">
            <w:pPr>
              <w:rPr>
                <w:sz w:val="24"/>
                <w:szCs w:val="24"/>
              </w:rPr>
            </w:pPr>
          </w:p>
          <w:p w14:paraId="46F102B7" w14:textId="77777777" w:rsidR="00847540" w:rsidRDefault="00847540" w:rsidP="00492E66">
            <w:pPr>
              <w:rPr>
                <w:sz w:val="24"/>
                <w:szCs w:val="24"/>
              </w:rPr>
            </w:pPr>
          </w:p>
          <w:p w14:paraId="2701F7C8" w14:textId="77777777" w:rsidR="00847540" w:rsidRDefault="00847540" w:rsidP="00492E66">
            <w:pPr>
              <w:rPr>
                <w:sz w:val="24"/>
                <w:szCs w:val="24"/>
              </w:rPr>
            </w:pPr>
          </w:p>
          <w:p w14:paraId="118B6A35" w14:textId="77777777" w:rsidR="00847540" w:rsidRDefault="00847540" w:rsidP="00492E66">
            <w:pPr>
              <w:rPr>
                <w:sz w:val="24"/>
                <w:szCs w:val="24"/>
              </w:rPr>
            </w:pPr>
          </w:p>
          <w:p w14:paraId="2C762FB9" w14:textId="77777777" w:rsidR="00847540" w:rsidRDefault="00847540" w:rsidP="00492E66">
            <w:pPr>
              <w:rPr>
                <w:sz w:val="24"/>
                <w:szCs w:val="24"/>
              </w:rPr>
            </w:pPr>
          </w:p>
          <w:p w14:paraId="4D119616" w14:textId="77777777" w:rsidR="00847540" w:rsidRDefault="00847540" w:rsidP="00492E66">
            <w:pPr>
              <w:rPr>
                <w:sz w:val="24"/>
                <w:szCs w:val="24"/>
              </w:rPr>
            </w:pPr>
          </w:p>
          <w:p w14:paraId="36B7A794" w14:textId="77777777" w:rsidR="00847540" w:rsidRDefault="00847540" w:rsidP="00492E66">
            <w:pPr>
              <w:rPr>
                <w:sz w:val="24"/>
                <w:szCs w:val="24"/>
              </w:rPr>
            </w:pPr>
          </w:p>
          <w:p w14:paraId="7F7610EE" w14:textId="395592EB" w:rsidR="00847540" w:rsidRPr="0009260A" w:rsidRDefault="00847540" w:rsidP="00492E66">
            <w:pPr>
              <w:rPr>
                <w:sz w:val="24"/>
                <w:szCs w:val="24"/>
              </w:rPr>
            </w:pPr>
          </w:p>
        </w:tc>
        <w:tc>
          <w:tcPr>
            <w:tcW w:w="6256" w:type="dxa"/>
            <w:gridSpan w:val="2"/>
            <w:shd w:val="clear" w:color="auto" w:fill="auto"/>
          </w:tcPr>
          <w:p w14:paraId="6F74799D" w14:textId="016AAD46" w:rsidR="006E551D" w:rsidRDefault="00681455" w:rsidP="00492E66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Professeur à l’Université Saint-Louis – Bruxelles chargé des enseignements suivants : </w:t>
            </w:r>
          </w:p>
          <w:p w14:paraId="327A2F0A" w14:textId="3E2BF0BA" w:rsidR="00681455" w:rsidRDefault="00681455" w:rsidP="00681455">
            <w:pPr>
              <w:pStyle w:val="Corpsdetexte"/>
              <w:numPr>
                <w:ilvl w:val="0"/>
                <w:numId w:val="35"/>
              </w:numPr>
              <w:spacing w:after="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Droit constitutionnel I, 1</w:t>
            </w:r>
            <w:r w:rsidR="00A804A1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bloc annuel du programme de bachelier en droit (45h) ;</w:t>
            </w:r>
          </w:p>
          <w:p w14:paraId="1C9C247B" w14:textId="77777777" w:rsidR="00847540" w:rsidRDefault="00681455" w:rsidP="00C63AF2">
            <w:pPr>
              <w:pStyle w:val="Corpsdetexte"/>
              <w:numPr>
                <w:ilvl w:val="0"/>
                <w:numId w:val="35"/>
              </w:numPr>
              <w:spacing w:after="0"/>
              <w:ind w:left="714" w:hanging="357"/>
              <w:rPr>
                <w:sz w:val="24"/>
                <w:szCs w:val="24"/>
              </w:rPr>
            </w:pPr>
            <w:r w:rsidRPr="00C63AF2">
              <w:rPr>
                <w:sz w:val="24"/>
                <w:szCs w:val="24"/>
              </w:rPr>
              <w:t>Droit constitutionnel I, 1</w:t>
            </w:r>
            <w:r w:rsidRPr="00C63AF2">
              <w:rPr>
                <w:sz w:val="24"/>
                <w:szCs w:val="24"/>
                <w:vertAlign w:val="superscript"/>
              </w:rPr>
              <w:t>er</w:t>
            </w:r>
            <w:r w:rsidRPr="00C63AF2">
              <w:rPr>
                <w:sz w:val="24"/>
                <w:szCs w:val="24"/>
              </w:rPr>
              <w:t xml:space="preserve"> bloc annuel des programmes en horaire décalé de bachelier en droit et de bachelier en science politique (30h).  </w:t>
            </w:r>
          </w:p>
          <w:p w14:paraId="2D30333D" w14:textId="7B1DB615" w:rsidR="00140A03" w:rsidRDefault="00140A03" w:rsidP="00140A03">
            <w:pPr>
              <w:pStyle w:val="Corpsdetexte"/>
              <w:numPr>
                <w:ilvl w:val="0"/>
                <w:numId w:val="35"/>
              </w:numPr>
              <w:spacing w:after="0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Droit constitutionnel II, 2</w:t>
            </w:r>
            <w:r w:rsidRPr="00140A03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C63AF2">
              <w:rPr>
                <w:sz w:val="24"/>
                <w:szCs w:val="24"/>
              </w:rPr>
              <w:t xml:space="preserve"> bloc annuel des programmes en horaire décalé de bachelier en droit et de bachelier en science politique</w:t>
            </w:r>
            <w:r>
              <w:rPr>
                <w:sz w:val="24"/>
                <w:szCs w:val="24"/>
              </w:rPr>
              <w:t xml:space="preserve"> (30h) ;</w:t>
            </w:r>
          </w:p>
          <w:p w14:paraId="7813BAF5" w14:textId="591BEEDD" w:rsidR="00140A03" w:rsidRPr="00140A03" w:rsidRDefault="00140A03" w:rsidP="00D70181">
            <w:pPr>
              <w:pStyle w:val="Corpsdetexte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Séminaire </w:t>
            </w:r>
            <w:r w:rsidR="00D70181">
              <w:rPr>
                <w:sz w:val="24"/>
                <w:szCs w:val="24"/>
              </w:rPr>
              <w:t>de travail de fin d’études, orientation</w:t>
            </w:r>
            <w:r w:rsidRPr="00440460">
              <w:rPr>
                <w:sz w:val="24"/>
                <w:szCs w:val="24"/>
              </w:rPr>
              <w:t xml:space="preserve"> juridique, programme de master de spécialisation en droits de l’homme (</w:t>
            </w:r>
            <w:r>
              <w:rPr>
                <w:sz w:val="24"/>
                <w:szCs w:val="24"/>
              </w:rPr>
              <w:t>15h</w:t>
            </w:r>
            <w:r w:rsidRPr="00440460">
              <w:rPr>
                <w:sz w:val="24"/>
                <w:szCs w:val="24"/>
              </w:rPr>
              <w:t>).</w:t>
            </w:r>
          </w:p>
        </w:tc>
      </w:tr>
      <w:tr w:rsidR="000911AD" w14:paraId="49FDBA16" w14:textId="77777777">
        <w:trPr>
          <w:trHeight w:val="142"/>
        </w:trPr>
        <w:tc>
          <w:tcPr>
            <w:tcW w:w="9142" w:type="dxa"/>
            <w:gridSpan w:val="3"/>
            <w:shd w:val="clear" w:color="auto" w:fill="auto"/>
          </w:tcPr>
          <w:p w14:paraId="272ED067" w14:textId="03866C2C" w:rsidR="000911AD" w:rsidRDefault="000911AD" w:rsidP="000911AD">
            <w:pPr>
              <w:pStyle w:val="Titredesection"/>
            </w:pPr>
            <w:r>
              <w:t>Parcours professionnel</w:t>
            </w:r>
          </w:p>
        </w:tc>
      </w:tr>
      <w:tr w:rsidR="000911AD" w14:paraId="068FE649" w14:textId="77777777">
        <w:trPr>
          <w:trHeight w:val="142"/>
        </w:trPr>
        <w:tc>
          <w:tcPr>
            <w:tcW w:w="2886" w:type="dxa"/>
            <w:shd w:val="clear" w:color="auto" w:fill="auto"/>
          </w:tcPr>
          <w:p w14:paraId="439AD4A6" w14:textId="77777777" w:rsidR="00681455" w:rsidRDefault="00681455" w:rsidP="00681455">
            <w:pPr>
              <w:spacing w:after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– 2017 </w:t>
            </w:r>
          </w:p>
          <w:p w14:paraId="6A56D338" w14:textId="408D69C5" w:rsidR="008D3783" w:rsidRDefault="008D3783" w:rsidP="008D3783">
            <w:pPr>
              <w:spacing w:after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681455">
              <w:rPr>
                <w:sz w:val="24"/>
                <w:szCs w:val="24"/>
              </w:rPr>
              <w:t xml:space="preserve"> – 2017 </w:t>
            </w:r>
          </w:p>
          <w:p w14:paraId="6A6D8660" w14:textId="77777777" w:rsidR="00F4498E" w:rsidRDefault="00F4498E" w:rsidP="00216534">
            <w:pPr>
              <w:spacing w:after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2015</w:t>
            </w:r>
          </w:p>
          <w:p w14:paraId="65D8E5C9" w14:textId="77777777" w:rsidR="00216534" w:rsidRDefault="00216534" w:rsidP="00F4498E">
            <w:pPr>
              <w:rPr>
                <w:sz w:val="24"/>
                <w:szCs w:val="24"/>
              </w:rPr>
            </w:pPr>
          </w:p>
          <w:p w14:paraId="6741B589" w14:textId="06C8EF70" w:rsidR="000911AD" w:rsidRDefault="000911AD" w:rsidP="00847540">
            <w:pPr>
              <w:spacing w:after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– 2015 </w:t>
            </w:r>
          </w:p>
          <w:p w14:paraId="2423C08E" w14:textId="0A9ED9A3" w:rsidR="00F4498E" w:rsidRDefault="000911AD" w:rsidP="00847540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 – 2014 </w:t>
            </w:r>
          </w:p>
          <w:p w14:paraId="0B0FF1B9" w14:textId="77777777" w:rsidR="00F4498E" w:rsidRDefault="00F4498E" w:rsidP="00F4498E">
            <w:pPr>
              <w:rPr>
                <w:sz w:val="24"/>
                <w:szCs w:val="24"/>
              </w:rPr>
            </w:pPr>
          </w:p>
          <w:p w14:paraId="7DB8FFD3" w14:textId="77777777" w:rsidR="00F4498E" w:rsidRDefault="00F4498E" w:rsidP="00F4498E">
            <w:pPr>
              <w:rPr>
                <w:sz w:val="24"/>
                <w:szCs w:val="24"/>
              </w:rPr>
            </w:pPr>
          </w:p>
          <w:p w14:paraId="3D3B35A4" w14:textId="77777777" w:rsidR="00F4498E" w:rsidRDefault="00F4498E" w:rsidP="00F4498E">
            <w:pPr>
              <w:rPr>
                <w:sz w:val="24"/>
                <w:szCs w:val="24"/>
              </w:rPr>
            </w:pPr>
          </w:p>
          <w:p w14:paraId="5B8984A5" w14:textId="77777777" w:rsidR="00F4498E" w:rsidRDefault="00F4498E" w:rsidP="00F4498E">
            <w:pPr>
              <w:spacing w:after="180"/>
              <w:rPr>
                <w:sz w:val="24"/>
                <w:szCs w:val="24"/>
              </w:rPr>
            </w:pPr>
          </w:p>
          <w:p w14:paraId="3C3A5435" w14:textId="77777777" w:rsidR="000911AD" w:rsidRDefault="000911AD" w:rsidP="00F4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 – 2014 </w:t>
            </w:r>
          </w:p>
          <w:p w14:paraId="3E69A545" w14:textId="77777777" w:rsidR="00F4498E" w:rsidRDefault="00F4498E" w:rsidP="00F4498E">
            <w:pPr>
              <w:spacing w:after="200"/>
              <w:rPr>
                <w:sz w:val="24"/>
                <w:szCs w:val="24"/>
              </w:rPr>
            </w:pPr>
          </w:p>
          <w:p w14:paraId="0CD545CD" w14:textId="77777777" w:rsidR="000911AD" w:rsidRPr="0009260A" w:rsidRDefault="000911AD" w:rsidP="00F4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– 2012</w:t>
            </w:r>
          </w:p>
        </w:tc>
        <w:tc>
          <w:tcPr>
            <w:tcW w:w="6256" w:type="dxa"/>
            <w:gridSpan w:val="2"/>
            <w:shd w:val="clear" w:color="auto" w:fill="auto"/>
          </w:tcPr>
          <w:p w14:paraId="21B0B505" w14:textId="77777777" w:rsidR="00681455" w:rsidRDefault="00681455" w:rsidP="00681455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Professeur invité à l’Université Saint-Louis – Bruxelles. </w:t>
            </w:r>
          </w:p>
          <w:p w14:paraId="1D5AAE70" w14:textId="77777777" w:rsidR="008D3783" w:rsidRDefault="008D3783" w:rsidP="008D3783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Chargé de recherches des Fonds spéciaux de la recherche (FSR).</w:t>
            </w:r>
          </w:p>
          <w:p w14:paraId="343DBB2D" w14:textId="58AA38EC" w:rsidR="00E51A83" w:rsidRDefault="00E51A83" w:rsidP="00216534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Collaborateur scientifique du Fonds national de la Recherche scientifique (F.R.S.-FNRS). </w:t>
            </w:r>
          </w:p>
          <w:p w14:paraId="7C54573B" w14:textId="02820AB9" w:rsidR="000911AD" w:rsidRDefault="00FB2419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Professeur invité </w:t>
            </w:r>
            <w:r w:rsidR="000911AD">
              <w:rPr>
                <w:sz w:val="24"/>
                <w:szCs w:val="24"/>
              </w:rPr>
              <w:t>à l’ICH</w:t>
            </w:r>
            <w:r>
              <w:rPr>
                <w:sz w:val="24"/>
                <w:szCs w:val="24"/>
              </w:rPr>
              <w:t>EC – Brussels Management School</w:t>
            </w:r>
            <w:r w:rsidR="000911AD">
              <w:rPr>
                <w:sz w:val="24"/>
                <w:szCs w:val="24"/>
              </w:rPr>
              <w:t>.</w:t>
            </w:r>
          </w:p>
          <w:p w14:paraId="4AA3617A" w14:textId="328413D8" w:rsidR="000911AD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Conseiller politique du vice-président du Gouverne</w:t>
            </w:r>
            <w:r w:rsidR="002C2762">
              <w:rPr>
                <w:sz w:val="24"/>
                <w:szCs w:val="24"/>
              </w:rPr>
              <w:t xml:space="preserve">ment de la Communauté française, ministre </w:t>
            </w:r>
            <w:r>
              <w:rPr>
                <w:sz w:val="24"/>
                <w:szCs w:val="24"/>
              </w:rPr>
              <w:t>de l’Enfance, de la Recherche, des Bâtiments scolaires et de la Fonction publique. Matières</w:t>
            </w:r>
            <w:r w:rsidR="002C2762">
              <w:rPr>
                <w:sz w:val="24"/>
                <w:szCs w:val="24"/>
              </w:rPr>
              <w:t xml:space="preserve"> suivies</w:t>
            </w:r>
            <w:r>
              <w:rPr>
                <w:sz w:val="24"/>
                <w:szCs w:val="24"/>
              </w:rPr>
              <w:t> : enseignement supérieur, enseignement obligatoire et recherche scientifique.</w:t>
            </w:r>
          </w:p>
          <w:p w14:paraId="78DF66A6" w14:textId="2A7DDA5F" w:rsidR="000911AD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Commissaire du Gouvernement wallon auprès de l’Agenc</w:t>
            </w:r>
            <w:r w:rsidR="008D3783">
              <w:rPr>
                <w:sz w:val="24"/>
                <w:szCs w:val="24"/>
              </w:rPr>
              <w:t>e de stimulation technologique</w:t>
            </w:r>
            <w:r>
              <w:rPr>
                <w:sz w:val="24"/>
                <w:szCs w:val="24"/>
              </w:rPr>
              <w:t>.</w:t>
            </w:r>
          </w:p>
          <w:p w14:paraId="1AE659FD" w14:textId="77777777" w:rsidR="00707E64" w:rsidRDefault="000911AD" w:rsidP="00456D40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Chercheur </w:t>
            </w:r>
            <w:r w:rsidR="001B0FE5">
              <w:rPr>
                <w:sz w:val="24"/>
                <w:szCs w:val="24"/>
              </w:rPr>
              <w:t xml:space="preserve">doctorant </w:t>
            </w:r>
            <w:r>
              <w:rPr>
                <w:sz w:val="24"/>
                <w:szCs w:val="24"/>
              </w:rPr>
              <w:t xml:space="preserve">aux Facultés universitaires Saint-Louis (bourse des </w:t>
            </w:r>
            <w:r w:rsidR="00DB521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onds spéciaux de la recherche).</w:t>
            </w:r>
          </w:p>
          <w:p w14:paraId="2D71ECA3" w14:textId="68EEC3DD" w:rsidR="0049170A" w:rsidRPr="00C01CF2" w:rsidRDefault="0049170A" w:rsidP="00456D40">
            <w:pPr>
              <w:pStyle w:val="Corpsdetexte"/>
              <w:rPr>
                <w:sz w:val="24"/>
                <w:szCs w:val="24"/>
              </w:rPr>
            </w:pPr>
          </w:p>
        </w:tc>
      </w:tr>
      <w:tr w:rsidR="000911AD" w14:paraId="72FB72D9" w14:textId="77777777">
        <w:trPr>
          <w:trHeight w:val="142"/>
        </w:trPr>
        <w:tc>
          <w:tcPr>
            <w:tcW w:w="9142" w:type="dxa"/>
            <w:gridSpan w:val="3"/>
            <w:shd w:val="clear" w:color="auto" w:fill="auto"/>
          </w:tcPr>
          <w:p w14:paraId="5982336B" w14:textId="77777777" w:rsidR="000911AD" w:rsidRDefault="000911AD" w:rsidP="0049170A">
            <w:pPr>
              <w:pStyle w:val="Titredesection"/>
              <w:spacing w:before="0"/>
            </w:pPr>
            <w:r>
              <w:lastRenderedPageBreak/>
              <w:t>Formation</w:t>
            </w:r>
          </w:p>
        </w:tc>
      </w:tr>
      <w:tr w:rsidR="000911AD" w14:paraId="0ACCAE3D" w14:textId="77777777">
        <w:trPr>
          <w:trHeight w:val="142"/>
        </w:trPr>
        <w:tc>
          <w:tcPr>
            <w:tcW w:w="2905" w:type="dxa"/>
            <w:gridSpan w:val="2"/>
            <w:shd w:val="clear" w:color="auto" w:fill="auto"/>
          </w:tcPr>
          <w:p w14:paraId="3371ED03" w14:textId="77777777" w:rsidR="000911AD" w:rsidRDefault="000911AD" w:rsidP="00E40586">
            <w:pPr>
              <w:spacing w:after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– 2012</w:t>
            </w:r>
          </w:p>
          <w:p w14:paraId="349E616F" w14:textId="77777777" w:rsidR="000911AD" w:rsidRDefault="000911AD" w:rsidP="000911AD">
            <w:pPr>
              <w:rPr>
                <w:sz w:val="24"/>
                <w:szCs w:val="24"/>
              </w:rPr>
            </w:pPr>
          </w:p>
          <w:p w14:paraId="3B0CB4E5" w14:textId="77777777" w:rsidR="000911AD" w:rsidRDefault="000911AD" w:rsidP="000911AD">
            <w:pPr>
              <w:rPr>
                <w:sz w:val="24"/>
                <w:szCs w:val="24"/>
              </w:rPr>
            </w:pPr>
          </w:p>
          <w:p w14:paraId="7184794C" w14:textId="77777777" w:rsidR="000911AD" w:rsidRDefault="000911AD" w:rsidP="000911AD">
            <w:pPr>
              <w:rPr>
                <w:sz w:val="24"/>
                <w:szCs w:val="24"/>
              </w:rPr>
            </w:pPr>
          </w:p>
          <w:p w14:paraId="022E5D16" w14:textId="77777777" w:rsidR="000911AD" w:rsidRDefault="000911AD" w:rsidP="000911AD">
            <w:pPr>
              <w:rPr>
                <w:sz w:val="24"/>
                <w:szCs w:val="24"/>
              </w:rPr>
            </w:pPr>
          </w:p>
          <w:p w14:paraId="47B5CDDD" w14:textId="77777777" w:rsidR="000911AD" w:rsidRDefault="000911AD" w:rsidP="000911AD">
            <w:pPr>
              <w:rPr>
                <w:sz w:val="24"/>
                <w:szCs w:val="24"/>
              </w:rPr>
            </w:pPr>
          </w:p>
          <w:p w14:paraId="24A76BF5" w14:textId="77777777" w:rsidR="000911AD" w:rsidRDefault="000911AD" w:rsidP="000911AD">
            <w:pPr>
              <w:rPr>
                <w:sz w:val="24"/>
                <w:szCs w:val="24"/>
              </w:rPr>
            </w:pPr>
          </w:p>
          <w:p w14:paraId="13956BE1" w14:textId="77777777" w:rsidR="00C97952" w:rsidRDefault="00C97952" w:rsidP="00D37EBD">
            <w:pPr>
              <w:spacing w:after="220"/>
              <w:rPr>
                <w:sz w:val="24"/>
                <w:szCs w:val="24"/>
              </w:rPr>
            </w:pPr>
          </w:p>
          <w:p w14:paraId="7612CFAA" w14:textId="77DB8797" w:rsidR="000911AD" w:rsidRDefault="000911AD" w:rsidP="008515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– 2008 </w:t>
            </w:r>
          </w:p>
          <w:p w14:paraId="775C1662" w14:textId="77777777" w:rsidR="00C97952" w:rsidRDefault="00C97952" w:rsidP="00C97952">
            <w:pPr>
              <w:spacing w:after="220"/>
              <w:rPr>
                <w:sz w:val="24"/>
                <w:szCs w:val="24"/>
              </w:rPr>
            </w:pPr>
          </w:p>
          <w:p w14:paraId="4AB5AB9C" w14:textId="77777777" w:rsidR="000911AD" w:rsidRDefault="000911AD" w:rsidP="00D37EBD">
            <w:pPr>
              <w:spacing w:after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– 2008</w:t>
            </w:r>
          </w:p>
          <w:p w14:paraId="36856D71" w14:textId="77777777" w:rsidR="000911AD" w:rsidRPr="000454EB" w:rsidRDefault="000911AD" w:rsidP="000911AD">
            <w:pPr>
              <w:spacing w:after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– 2005</w:t>
            </w:r>
          </w:p>
        </w:tc>
        <w:tc>
          <w:tcPr>
            <w:tcW w:w="6237" w:type="dxa"/>
            <w:shd w:val="clear" w:color="auto" w:fill="auto"/>
          </w:tcPr>
          <w:p w14:paraId="37C465DD" w14:textId="77777777" w:rsidR="000911AD" w:rsidRDefault="000911AD" w:rsidP="000911AD">
            <w:pPr>
              <w:pStyle w:val="Objectifs"/>
              <w:rPr>
                <w:sz w:val="24"/>
                <w:szCs w:val="24"/>
              </w:rPr>
            </w:pPr>
            <w:r w:rsidRPr="009046E4">
              <w:rPr>
                <w:sz w:val="24"/>
                <w:szCs w:val="24"/>
              </w:rPr>
              <w:t>Diplôme de docteur en sciences juridiques obtenu aux Facultés universitaires Saint-Louis après soutenance, le 24 septembre 2012,</w:t>
            </w:r>
            <w:r>
              <w:rPr>
                <w:sz w:val="24"/>
                <w:szCs w:val="24"/>
              </w:rPr>
              <w:t xml:space="preserve"> d’une thèse intitulée </w:t>
            </w:r>
            <w:r w:rsidRPr="009046E4">
              <w:rPr>
                <w:sz w:val="24"/>
                <w:szCs w:val="24"/>
              </w:rPr>
              <w:t xml:space="preserve">« Le régime juridique de la liberté d'enseignement à l'épreuve des politiques scolaires ». </w:t>
            </w:r>
          </w:p>
          <w:p w14:paraId="048492A6" w14:textId="77777777" w:rsidR="000911AD" w:rsidRDefault="000911AD" w:rsidP="000911AD">
            <w:pPr>
              <w:pStyle w:val="Objectif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Promoteur : </w:t>
            </w:r>
            <w:r w:rsidRPr="009046E4">
              <w:rPr>
                <w:sz w:val="24"/>
                <w:szCs w:val="24"/>
              </w:rPr>
              <w:t>Hugues Dumont</w:t>
            </w:r>
            <w:r>
              <w:rPr>
                <w:sz w:val="24"/>
                <w:szCs w:val="24"/>
              </w:rPr>
              <w:t xml:space="preserve"> (Université Saint-Louis).</w:t>
            </w:r>
          </w:p>
          <w:p w14:paraId="6CFAA918" w14:textId="77777777" w:rsidR="000911AD" w:rsidRPr="008661A3" w:rsidRDefault="000911AD" w:rsidP="000911AD">
            <w:pPr>
              <w:pStyle w:val="Objectifs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Jury : </w:t>
            </w:r>
            <w:r w:rsidRPr="009046E4">
              <w:rPr>
                <w:sz w:val="24"/>
                <w:szCs w:val="24"/>
              </w:rPr>
              <w:t>Xavier Delgrange (</w:t>
            </w:r>
            <w:r>
              <w:rPr>
                <w:sz w:val="24"/>
                <w:szCs w:val="24"/>
              </w:rPr>
              <w:t>Saint-Louis</w:t>
            </w:r>
            <w:r w:rsidRPr="009046E4">
              <w:rPr>
                <w:sz w:val="24"/>
                <w:szCs w:val="24"/>
              </w:rPr>
              <w:t xml:space="preserve"> et ULB), Sébastien van Drooghenbroeck (</w:t>
            </w:r>
            <w:r>
              <w:rPr>
                <w:sz w:val="24"/>
                <w:szCs w:val="24"/>
              </w:rPr>
              <w:t>Saint-Louis</w:t>
            </w:r>
            <w:r w:rsidRPr="009046E4">
              <w:rPr>
                <w:sz w:val="24"/>
                <w:szCs w:val="24"/>
              </w:rPr>
              <w:t>), Christian Maroy (UCL</w:t>
            </w:r>
            <w:r>
              <w:rPr>
                <w:sz w:val="24"/>
                <w:szCs w:val="24"/>
              </w:rPr>
              <w:t xml:space="preserve"> et Université de Montréal</w:t>
            </w:r>
            <w:r w:rsidRPr="009046E4">
              <w:rPr>
                <w:sz w:val="24"/>
                <w:szCs w:val="24"/>
              </w:rPr>
              <w:t>), Ludo Veny (U</w:t>
            </w:r>
            <w:r>
              <w:rPr>
                <w:sz w:val="24"/>
                <w:szCs w:val="24"/>
              </w:rPr>
              <w:t>G</w:t>
            </w:r>
            <w:r w:rsidRPr="009046E4">
              <w:rPr>
                <w:sz w:val="24"/>
                <w:szCs w:val="24"/>
              </w:rPr>
              <w:t>ent) et Pierre Vandernoot (ULB).</w:t>
            </w:r>
          </w:p>
          <w:p w14:paraId="6735DFCC" w14:textId="77777777" w:rsidR="000911AD" w:rsidRDefault="000911AD" w:rsidP="000911AD">
            <w:pPr>
              <w:pStyle w:val="Objectif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Diplôme de licencié en droit obtenu à l’Université catholique de Louvain. </w:t>
            </w:r>
          </w:p>
          <w:p w14:paraId="18D78C79" w14:textId="77777777" w:rsidR="000911AD" w:rsidRPr="005960C2" w:rsidRDefault="000911AD" w:rsidP="000911AD">
            <w:pPr>
              <w:pStyle w:val="Objectif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Diplôme de bachelier en philosophie obtenu aux Facultés universitaires Saint-Louis. </w:t>
            </w:r>
          </w:p>
          <w:p w14:paraId="2034BEFF" w14:textId="77777777" w:rsidR="000911AD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960C2">
              <w:rPr>
                <w:sz w:val="24"/>
                <w:szCs w:val="24"/>
              </w:rPr>
              <w:t xml:space="preserve">iplôme de candidat en droit obtenu aux Facultés universitaires Saint-Louis. </w:t>
            </w:r>
          </w:p>
          <w:p w14:paraId="22900997" w14:textId="77777777" w:rsidR="000911AD" w:rsidRPr="000454EB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Lauréat du p</w:t>
            </w:r>
            <w:r w:rsidRPr="005960C2">
              <w:rPr>
                <w:sz w:val="24"/>
                <w:szCs w:val="24"/>
              </w:rPr>
              <w:t xml:space="preserve">rix de la candidature récompensant </w:t>
            </w:r>
            <w:r>
              <w:rPr>
                <w:sz w:val="24"/>
                <w:szCs w:val="24"/>
              </w:rPr>
              <w:t>« </w:t>
            </w:r>
            <w:r w:rsidRPr="005960C2">
              <w:rPr>
                <w:sz w:val="24"/>
                <w:szCs w:val="24"/>
              </w:rPr>
              <w:t>l’étudiant qui, au terme de ses candidatures, s’est distingué par l’originalité de son parcours et par la qualité de sa réflexion</w:t>
            </w:r>
            <w:r>
              <w:rPr>
                <w:sz w:val="24"/>
                <w:szCs w:val="24"/>
              </w:rPr>
              <w:t> »</w:t>
            </w:r>
            <w:r w:rsidRPr="005960C2">
              <w:rPr>
                <w:sz w:val="24"/>
                <w:szCs w:val="24"/>
              </w:rPr>
              <w:t>.</w:t>
            </w:r>
          </w:p>
        </w:tc>
      </w:tr>
      <w:tr w:rsidR="00456D40" w14:paraId="0CFA22C6" w14:textId="77777777" w:rsidTr="00492E66">
        <w:trPr>
          <w:trHeight w:val="142"/>
        </w:trPr>
        <w:tc>
          <w:tcPr>
            <w:tcW w:w="9142" w:type="dxa"/>
            <w:gridSpan w:val="3"/>
            <w:shd w:val="clear" w:color="auto" w:fill="auto"/>
          </w:tcPr>
          <w:p w14:paraId="2CFD5031" w14:textId="54C22C43" w:rsidR="00456D40" w:rsidRDefault="00456D40" w:rsidP="00492E66">
            <w:pPr>
              <w:pStyle w:val="Titredesection"/>
            </w:pPr>
            <w:r>
              <w:t>Charges d’enseignement</w:t>
            </w:r>
            <w:r w:rsidR="00681455">
              <w:t xml:space="preserve"> passées</w:t>
            </w:r>
          </w:p>
        </w:tc>
      </w:tr>
      <w:tr w:rsidR="000911AD" w:rsidRPr="000454EB" w14:paraId="2139AD89" w14:textId="77777777">
        <w:trPr>
          <w:trHeight w:val="142"/>
        </w:trPr>
        <w:tc>
          <w:tcPr>
            <w:tcW w:w="2905" w:type="dxa"/>
            <w:gridSpan w:val="2"/>
            <w:shd w:val="clear" w:color="auto" w:fill="auto"/>
          </w:tcPr>
          <w:p w14:paraId="50130F6B" w14:textId="4F4E537B" w:rsidR="00456D40" w:rsidRDefault="00456D40" w:rsidP="00D70181">
            <w:pPr>
              <w:spacing w:after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40A03">
              <w:rPr>
                <w:sz w:val="24"/>
                <w:szCs w:val="24"/>
              </w:rPr>
              <w:t>6</w:t>
            </w:r>
            <w:r w:rsidR="001E1065">
              <w:rPr>
                <w:sz w:val="24"/>
                <w:szCs w:val="24"/>
              </w:rPr>
              <w:t xml:space="preserve"> </w:t>
            </w:r>
            <w:r w:rsidR="001E1065" w:rsidRPr="00440460">
              <w:rPr>
                <w:sz w:val="24"/>
                <w:szCs w:val="24"/>
              </w:rPr>
              <w:t>–</w:t>
            </w:r>
            <w:r w:rsidR="001E1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</w:t>
            </w:r>
            <w:r w:rsidR="00681455">
              <w:rPr>
                <w:sz w:val="24"/>
                <w:szCs w:val="24"/>
              </w:rPr>
              <w:t>7</w:t>
            </w:r>
          </w:p>
          <w:p w14:paraId="33A769B2" w14:textId="24ABF159" w:rsidR="00E77BE3" w:rsidRDefault="00E77BE3" w:rsidP="007206DD">
            <w:pPr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4404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2016</w:t>
            </w:r>
          </w:p>
          <w:p w14:paraId="5ABEC301" w14:textId="71DFA83D" w:rsidR="001E1065" w:rsidRDefault="001E1065" w:rsidP="00D70181">
            <w:pPr>
              <w:spacing w:after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</w:t>
            </w:r>
            <w:r w:rsidRPr="0044046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2015</w:t>
            </w:r>
          </w:p>
          <w:p w14:paraId="759F71EC" w14:textId="1176EBC7" w:rsidR="000911AD" w:rsidRPr="00440460" w:rsidRDefault="000911AD" w:rsidP="000911AD">
            <w:pPr>
              <w:spacing w:after="480"/>
              <w:rPr>
                <w:sz w:val="24"/>
                <w:szCs w:val="24"/>
              </w:rPr>
            </w:pPr>
            <w:r w:rsidRPr="00440460">
              <w:rPr>
                <w:sz w:val="24"/>
                <w:szCs w:val="24"/>
              </w:rPr>
              <w:t>2012 – 2014</w:t>
            </w:r>
          </w:p>
          <w:p w14:paraId="00E25C8E" w14:textId="77777777" w:rsidR="000911AD" w:rsidRPr="00440460" w:rsidRDefault="000911AD" w:rsidP="000911AD">
            <w:pPr>
              <w:spacing w:after="780"/>
              <w:rPr>
                <w:sz w:val="24"/>
                <w:szCs w:val="24"/>
              </w:rPr>
            </w:pPr>
            <w:r w:rsidRPr="00440460">
              <w:rPr>
                <w:sz w:val="24"/>
                <w:szCs w:val="24"/>
              </w:rPr>
              <w:t xml:space="preserve">2013 – 2015 </w:t>
            </w:r>
          </w:p>
        </w:tc>
        <w:tc>
          <w:tcPr>
            <w:tcW w:w="6237" w:type="dxa"/>
            <w:shd w:val="clear" w:color="auto" w:fill="auto"/>
          </w:tcPr>
          <w:p w14:paraId="29E5991B" w14:textId="3A9BA44B" w:rsidR="000B0D35" w:rsidRDefault="000B0D35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Droit constitutionnel II, programme de bachelier en </w:t>
            </w:r>
            <w:r w:rsidR="00140A03">
              <w:rPr>
                <w:sz w:val="24"/>
                <w:szCs w:val="24"/>
              </w:rPr>
              <w:t xml:space="preserve">droit </w:t>
            </w:r>
            <w:r>
              <w:rPr>
                <w:sz w:val="24"/>
                <w:szCs w:val="24"/>
              </w:rPr>
              <w:t>(30 h).</w:t>
            </w:r>
          </w:p>
          <w:p w14:paraId="0952417F" w14:textId="70C18FCE" w:rsidR="00E77BE3" w:rsidRDefault="00E77BE3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Séminaire de théorie du droit</w:t>
            </w:r>
            <w:r w:rsidR="007206DD">
              <w:rPr>
                <w:sz w:val="24"/>
                <w:szCs w:val="24"/>
              </w:rPr>
              <w:t>, programme de bachelier en droit (30h).</w:t>
            </w:r>
          </w:p>
          <w:p w14:paraId="38DB4286" w14:textId="18EF8830" w:rsidR="001E1065" w:rsidRDefault="001E1065" w:rsidP="001E1065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Partie « droits de l’homme » du cours de </w:t>
            </w:r>
            <w:r w:rsidR="00D1685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roit public II, programme de bachelier en sciences politiques à horaire décalé (15h).</w:t>
            </w:r>
          </w:p>
          <w:p w14:paraId="6DCCAC8B" w14:textId="70B8EF39" w:rsidR="000911AD" w:rsidRPr="00440460" w:rsidRDefault="000911AD" w:rsidP="000911AD">
            <w:pPr>
              <w:pStyle w:val="Corpsdetexte"/>
              <w:rPr>
                <w:sz w:val="24"/>
                <w:szCs w:val="24"/>
              </w:rPr>
            </w:pPr>
            <w:r w:rsidRPr="00440460">
              <w:rPr>
                <w:sz w:val="24"/>
                <w:szCs w:val="24"/>
              </w:rPr>
              <w:t xml:space="preserve">Séminaire de méthodologie juridique, programme de </w:t>
            </w:r>
            <w:r w:rsidR="000F3D2F">
              <w:rPr>
                <w:sz w:val="24"/>
                <w:szCs w:val="24"/>
              </w:rPr>
              <w:t>bachelier</w:t>
            </w:r>
            <w:r w:rsidRPr="00440460">
              <w:rPr>
                <w:sz w:val="24"/>
                <w:szCs w:val="24"/>
              </w:rPr>
              <w:t xml:space="preserve"> en droit (30h en horaire ordinaire, 30h en horaire décalé).</w:t>
            </w:r>
          </w:p>
          <w:p w14:paraId="600454E5" w14:textId="2F9F00E9" w:rsidR="000911AD" w:rsidRPr="00440460" w:rsidRDefault="000911AD" w:rsidP="005511A8">
            <w:pPr>
              <w:pStyle w:val="Corpsdetexte"/>
              <w:rPr>
                <w:sz w:val="24"/>
                <w:szCs w:val="24"/>
              </w:rPr>
            </w:pPr>
            <w:r w:rsidRPr="00440460">
              <w:rPr>
                <w:sz w:val="24"/>
                <w:szCs w:val="24"/>
              </w:rPr>
              <w:t xml:space="preserve">Fondements du droit public (ICHEC), programme de </w:t>
            </w:r>
            <w:r w:rsidR="000F3D2F">
              <w:rPr>
                <w:sz w:val="24"/>
                <w:szCs w:val="24"/>
              </w:rPr>
              <w:t>bachelier</w:t>
            </w:r>
            <w:r w:rsidR="005511A8">
              <w:rPr>
                <w:sz w:val="24"/>
                <w:szCs w:val="24"/>
              </w:rPr>
              <w:t xml:space="preserve"> en gestion d’entreprise et de bachelier </w:t>
            </w:r>
            <w:r w:rsidRPr="00440460">
              <w:rPr>
                <w:sz w:val="24"/>
                <w:szCs w:val="24"/>
              </w:rPr>
              <w:t>- ingénieur commercial (30h).</w:t>
            </w:r>
          </w:p>
        </w:tc>
      </w:tr>
      <w:tr w:rsidR="000911AD" w14:paraId="23CF9C58" w14:textId="77777777">
        <w:trPr>
          <w:trHeight w:val="142"/>
        </w:trPr>
        <w:tc>
          <w:tcPr>
            <w:tcW w:w="9142" w:type="dxa"/>
            <w:gridSpan w:val="3"/>
            <w:shd w:val="clear" w:color="auto" w:fill="auto"/>
          </w:tcPr>
          <w:p w14:paraId="117AB063" w14:textId="18BC7326" w:rsidR="002A32C7" w:rsidRDefault="002A32C7" w:rsidP="002A32C7">
            <w:pPr>
              <w:pStyle w:val="Titredesection"/>
              <w:jc w:val="both"/>
            </w:pPr>
            <w:r>
              <w:t>Affiliations scientifiques</w:t>
            </w:r>
            <w:r w:rsidR="000E4D73">
              <w:t>, charges institutionnelles</w:t>
            </w:r>
            <w:r>
              <w:t xml:space="preserve"> et participation à des Comités éditoriaux</w:t>
            </w:r>
          </w:p>
          <w:p w14:paraId="3D599AA6" w14:textId="4D2FB891" w:rsidR="00EC5CE7" w:rsidRDefault="0094429D" w:rsidP="002A32C7">
            <w:pPr>
              <w:pStyle w:val="Retrait1religne"/>
              <w:spacing w:after="2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Depuis 2008, membre</w:t>
            </w:r>
            <w:r w:rsidR="002A32C7">
              <w:rPr>
                <w:sz w:val="24"/>
                <w:szCs w:val="24"/>
              </w:rPr>
              <w:t xml:space="preserve"> Centre interdisciplinaire de reche</w:t>
            </w:r>
            <w:r w:rsidR="00EC5CE7">
              <w:rPr>
                <w:sz w:val="24"/>
                <w:szCs w:val="24"/>
              </w:rPr>
              <w:t xml:space="preserve">rches </w:t>
            </w:r>
            <w:r w:rsidR="00730D0E">
              <w:rPr>
                <w:sz w:val="24"/>
                <w:szCs w:val="24"/>
              </w:rPr>
              <w:t>en droit constitutionnel et administratif</w:t>
            </w:r>
            <w:r w:rsidR="00EC5CE7">
              <w:rPr>
                <w:sz w:val="24"/>
                <w:szCs w:val="24"/>
              </w:rPr>
              <w:t xml:space="preserve"> (CIRC)</w:t>
            </w:r>
            <w:r>
              <w:rPr>
                <w:sz w:val="24"/>
                <w:szCs w:val="24"/>
              </w:rPr>
              <w:t>. Secrétaire scientifique du même centre depuis 2016</w:t>
            </w:r>
            <w:r w:rsidR="00EC5CE7">
              <w:rPr>
                <w:sz w:val="24"/>
                <w:szCs w:val="24"/>
              </w:rPr>
              <w:t>.</w:t>
            </w:r>
          </w:p>
          <w:p w14:paraId="6E2D6D30" w14:textId="1F83A5EE" w:rsidR="002A32C7" w:rsidRDefault="0094429D" w:rsidP="003832DD">
            <w:pPr>
              <w:pStyle w:val="Retrait1religne"/>
              <w:spacing w:after="2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Depuis 2012, m</w:t>
            </w:r>
            <w:r w:rsidR="00EC5CE7">
              <w:rPr>
                <w:sz w:val="24"/>
                <w:szCs w:val="24"/>
              </w:rPr>
              <w:t xml:space="preserve">embre du comité scientifique du </w:t>
            </w:r>
            <w:r w:rsidR="002A32C7">
              <w:rPr>
                <w:sz w:val="24"/>
                <w:szCs w:val="24"/>
              </w:rPr>
              <w:t>Séminaire interdisciplinaire d’études juridiques (SIEJ)</w:t>
            </w:r>
            <w:r w:rsidR="003832DD">
              <w:rPr>
                <w:sz w:val="24"/>
                <w:szCs w:val="24"/>
              </w:rPr>
              <w:t xml:space="preserve"> et </w:t>
            </w:r>
            <w:r w:rsidR="002A32C7">
              <w:rPr>
                <w:sz w:val="24"/>
                <w:szCs w:val="24"/>
              </w:rPr>
              <w:t>du c</w:t>
            </w:r>
            <w:r w:rsidR="002A32C7" w:rsidRPr="00F470D4">
              <w:rPr>
                <w:sz w:val="24"/>
                <w:szCs w:val="24"/>
              </w:rPr>
              <w:t>omité de rédaction de la Revue interdisciplinaire d’études juridiques</w:t>
            </w:r>
            <w:r w:rsidR="000B0D35">
              <w:rPr>
                <w:sz w:val="24"/>
                <w:szCs w:val="24"/>
              </w:rPr>
              <w:t xml:space="preserve"> (RIEJ)</w:t>
            </w:r>
            <w:r w:rsidR="003832DD">
              <w:rPr>
                <w:sz w:val="24"/>
                <w:szCs w:val="24"/>
              </w:rPr>
              <w:t>.</w:t>
            </w:r>
          </w:p>
          <w:p w14:paraId="28FA85BF" w14:textId="5688B15D" w:rsidR="00B33401" w:rsidRDefault="007F068A" w:rsidP="000E4D73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Depuis 2014, r</w:t>
            </w:r>
            <w:r w:rsidR="002A32C7">
              <w:rPr>
                <w:sz w:val="24"/>
                <w:szCs w:val="24"/>
              </w:rPr>
              <w:t>eprésentant du corps académique au</w:t>
            </w:r>
            <w:r w:rsidR="001E4462">
              <w:rPr>
                <w:sz w:val="24"/>
                <w:szCs w:val="24"/>
              </w:rPr>
              <w:t>x</w:t>
            </w:r>
            <w:r w:rsidR="002A32C7" w:rsidRPr="00F470D4">
              <w:rPr>
                <w:sz w:val="24"/>
                <w:szCs w:val="24"/>
              </w:rPr>
              <w:t xml:space="preserve"> conseil</w:t>
            </w:r>
            <w:r w:rsidR="001E4462">
              <w:rPr>
                <w:sz w:val="24"/>
                <w:szCs w:val="24"/>
              </w:rPr>
              <w:t>s</w:t>
            </w:r>
            <w:r w:rsidR="002A32C7" w:rsidRPr="00F470D4">
              <w:rPr>
                <w:sz w:val="24"/>
                <w:szCs w:val="24"/>
              </w:rPr>
              <w:t xml:space="preserve"> de la faculté de droit</w:t>
            </w:r>
            <w:r w:rsidR="002A32C7">
              <w:rPr>
                <w:sz w:val="24"/>
                <w:szCs w:val="24"/>
              </w:rPr>
              <w:t xml:space="preserve"> et de la faculté </w:t>
            </w:r>
            <w:r w:rsidR="002A32C7">
              <w:rPr>
                <w:sz w:val="24"/>
                <w:szCs w:val="24"/>
              </w:rPr>
              <w:lastRenderedPageBreak/>
              <w:t>des sciences économiques, sociales, politiques et de la communication.</w:t>
            </w:r>
          </w:p>
          <w:p w14:paraId="1ADF50E9" w14:textId="51A36DD1" w:rsidR="005E624C" w:rsidRDefault="007F068A" w:rsidP="0019618D">
            <w:pPr>
              <w:pStyle w:val="Corpsdetexte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Depuis 2014, s</w:t>
            </w:r>
            <w:r w:rsidR="00D8664E">
              <w:rPr>
                <w:sz w:val="24"/>
                <w:szCs w:val="24"/>
              </w:rPr>
              <w:t>ecrétaire du jury du programme de bachelier en droit à horaire décalé.</w:t>
            </w:r>
          </w:p>
          <w:p w14:paraId="5B22D71C" w14:textId="77777777" w:rsidR="000975C6" w:rsidRDefault="000975C6" w:rsidP="0019618D">
            <w:pPr>
              <w:pStyle w:val="Corpsdetexte"/>
              <w:spacing w:after="0"/>
              <w:rPr>
                <w:sz w:val="24"/>
                <w:szCs w:val="24"/>
              </w:rPr>
            </w:pPr>
          </w:p>
          <w:p w14:paraId="2152CA47" w14:textId="05B8DDF2" w:rsidR="007F068A" w:rsidRDefault="007F068A" w:rsidP="007F068A">
            <w:pPr>
              <w:pStyle w:val="Titredesection"/>
              <w:jc w:val="both"/>
            </w:pPr>
            <w:bookmarkStart w:id="0" w:name="_GoBack"/>
            <w:bookmarkEnd w:id="0"/>
            <w:r>
              <w:t>Encadrement de thèses de doctorat</w:t>
            </w:r>
          </w:p>
          <w:p w14:paraId="70A1140E" w14:textId="1D3B78B4" w:rsidR="00D1685C" w:rsidRPr="00A83FF8" w:rsidRDefault="00F90F46" w:rsidP="0019618D">
            <w:pPr>
              <w:pStyle w:val="Corpsdetexte"/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Membre du comité d’accompagne</w:t>
            </w:r>
            <w:r w:rsidR="000969AC">
              <w:rPr>
                <w:sz w:val="24"/>
                <w:szCs w:val="24"/>
              </w:rPr>
              <w:t xml:space="preserve">ment </w:t>
            </w:r>
            <w:r>
              <w:rPr>
                <w:sz w:val="24"/>
                <w:szCs w:val="24"/>
              </w:rPr>
              <w:t>de la thèse de doctorat de Laurie Losseau (Université Saint-Louis – Bruxelles). Titre provisoire : « </w:t>
            </w:r>
            <w:r w:rsidRPr="00F90F46">
              <w:rPr>
                <w:sz w:val="24"/>
                <w:szCs w:val="24"/>
              </w:rPr>
              <w:t>Bruxelles, capitale de la complexité institutionnelle</w:t>
            </w:r>
            <w:r>
              <w:rPr>
                <w:sz w:val="24"/>
                <w:szCs w:val="24"/>
              </w:rPr>
              <w:t xml:space="preserve"> </w:t>
            </w:r>
            <w:r w:rsidRPr="00F90F46">
              <w:rPr>
                <w:sz w:val="24"/>
                <w:szCs w:val="24"/>
              </w:rPr>
              <w:t>devenue ingouvernable ? Instruments de cohérence et illégalités dans le droit des politiques</w:t>
            </w:r>
            <w:r>
              <w:rPr>
                <w:sz w:val="24"/>
                <w:szCs w:val="24"/>
              </w:rPr>
              <w:t xml:space="preserve"> </w:t>
            </w:r>
            <w:r w:rsidRPr="00F90F46">
              <w:rPr>
                <w:sz w:val="24"/>
                <w:szCs w:val="24"/>
              </w:rPr>
              <w:t>publiques menées en région bruxelloise</w:t>
            </w:r>
            <w:r>
              <w:rPr>
                <w:sz w:val="24"/>
                <w:szCs w:val="24"/>
              </w:rPr>
              <w:t> »</w:t>
            </w:r>
            <w:r w:rsidRPr="00F90F46">
              <w:rPr>
                <w:sz w:val="24"/>
                <w:szCs w:val="24"/>
              </w:rPr>
              <w:t>.</w:t>
            </w:r>
            <w:r w:rsidR="00483629">
              <w:rPr>
                <w:sz w:val="24"/>
                <w:szCs w:val="24"/>
              </w:rPr>
              <w:t xml:space="preserve"> Financement : Prospective Research for Brussels (Innoviris).</w:t>
            </w:r>
          </w:p>
          <w:p w14:paraId="3CC31A2A" w14:textId="77777777" w:rsidR="000911AD" w:rsidRDefault="000911AD" w:rsidP="000911AD">
            <w:pPr>
              <w:pStyle w:val="Titredesection"/>
            </w:pPr>
            <w:r>
              <w:t>Publications</w:t>
            </w:r>
          </w:p>
        </w:tc>
      </w:tr>
      <w:tr w:rsidR="000911AD" w:rsidRPr="008D2617" w14:paraId="6C5C8CC4" w14:textId="77777777" w:rsidTr="00BD503D">
        <w:trPr>
          <w:trHeight w:val="1418"/>
        </w:trPr>
        <w:tc>
          <w:tcPr>
            <w:tcW w:w="9142" w:type="dxa"/>
            <w:gridSpan w:val="3"/>
            <w:shd w:val="clear" w:color="auto" w:fill="auto"/>
          </w:tcPr>
          <w:p w14:paraId="6EADA2B3" w14:textId="1911467F" w:rsidR="000911AD" w:rsidRPr="00117728" w:rsidRDefault="000911AD" w:rsidP="000911AD">
            <w:pPr>
              <w:pStyle w:val="Corpsdetexte"/>
              <w:rPr>
                <w:b/>
                <w:sz w:val="24"/>
                <w:szCs w:val="24"/>
              </w:rPr>
            </w:pPr>
            <w:r w:rsidRPr="00117728">
              <w:rPr>
                <w:b/>
                <w:smallCaps/>
                <w:sz w:val="24"/>
                <w:szCs w:val="24"/>
              </w:rPr>
              <w:lastRenderedPageBreak/>
              <w:t>P</w:t>
            </w:r>
            <w:r w:rsidRPr="00117728">
              <w:rPr>
                <w:b/>
                <w:sz w:val="24"/>
                <w:szCs w:val="24"/>
              </w:rPr>
              <w:t xml:space="preserve">ublications </w:t>
            </w:r>
            <w:r>
              <w:rPr>
                <w:b/>
                <w:sz w:val="24"/>
                <w:szCs w:val="24"/>
              </w:rPr>
              <w:t>académiques</w:t>
            </w:r>
          </w:p>
          <w:p w14:paraId="164798DA" w14:textId="77777777" w:rsidR="007159C1" w:rsidRPr="00F52148" w:rsidRDefault="007159C1" w:rsidP="007159C1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Direction d’ouvrages collectifs</w:t>
            </w:r>
            <w:r w:rsidRPr="00F52148">
              <w:rPr>
                <w:sz w:val="24"/>
                <w:szCs w:val="24"/>
              </w:rPr>
              <w:t xml:space="preserve"> : </w:t>
            </w:r>
          </w:p>
          <w:p w14:paraId="53BFA55B" w14:textId="548F29AD" w:rsidR="00237A9A" w:rsidRPr="00310EB6" w:rsidRDefault="00237A9A" w:rsidP="007159C1">
            <w:pPr>
              <w:pStyle w:val="Corpsdetexte"/>
              <w:rPr>
                <w:sz w:val="24"/>
                <w:szCs w:val="24"/>
                <w:lang w:val="nl-BE"/>
              </w:rPr>
            </w:pPr>
            <w:r w:rsidRPr="00310EB6">
              <w:rPr>
                <w:sz w:val="24"/>
                <w:szCs w:val="24"/>
                <w:lang w:val="nl-BE"/>
              </w:rPr>
              <w:t>2. Co-direction, ave</w:t>
            </w:r>
            <w:r w:rsidR="0040667A" w:rsidRPr="00310EB6">
              <w:rPr>
                <w:sz w:val="24"/>
                <w:szCs w:val="24"/>
                <w:lang w:val="nl-BE"/>
              </w:rPr>
              <w:t>c</w:t>
            </w:r>
            <w:r w:rsidR="00FC1F14" w:rsidRPr="00310EB6">
              <w:rPr>
                <w:sz w:val="24"/>
                <w:szCs w:val="24"/>
                <w:lang w:val="nl-BE"/>
              </w:rPr>
              <w:t xml:space="preserve"> X. </w:t>
            </w:r>
            <w:r w:rsidR="00FC1F14" w:rsidRPr="003D4C26">
              <w:rPr>
                <w:smallCaps/>
                <w:sz w:val="24"/>
                <w:szCs w:val="24"/>
                <w:lang w:val="nl-BE"/>
              </w:rPr>
              <w:t>Delgrange</w:t>
            </w:r>
            <w:r w:rsidR="00FC1F14" w:rsidRPr="00310EB6">
              <w:rPr>
                <w:sz w:val="24"/>
                <w:szCs w:val="24"/>
                <w:lang w:val="nl-BE"/>
              </w:rPr>
              <w:t xml:space="preserve"> et L. </w:t>
            </w:r>
            <w:r w:rsidR="00FC1F14" w:rsidRPr="003D4C26">
              <w:rPr>
                <w:smallCaps/>
                <w:sz w:val="24"/>
                <w:szCs w:val="24"/>
                <w:lang w:val="nl-BE"/>
              </w:rPr>
              <w:t>Detroux</w:t>
            </w:r>
            <w:r w:rsidR="00FC1F14" w:rsidRPr="00310EB6">
              <w:rPr>
                <w:sz w:val="24"/>
                <w:szCs w:val="24"/>
                <w:lang w:val="nl-BE"/>
              </w:rPr>
              <w:t xml:space="preserve">, </w:t>
            </w:r>
            <w:r w:rsidR="00310EB6" w:rsidRPr="00310EB6">
              <w:rPr>
                <w:i/>
                <w:sz w:val="24"/>
                <w:szCs w:val="24"/>
                <w:lang w:val="nl-BE"/>
              </w:rPr>
              <w:t>Les grands arrêts du droit de l’enseignement</w:t>
            </w:r>
            <w:r w:rsidRPr="00310EB6">
              <w:rPr>
                <w:sz w:val="24"/>
                <w:szCs w:val="24"/>
                <w:lang w:val="nl-BE"/>
              </w:rPr>
              <w:t>,</w:t>
            </w:r>
            <w:r w:rsidR="00310EB6" w:rsidRPr="00310EB6">
              <w:rPr>
                <w:sz w:val="24"/>
                <w:szCs w:val="24"/>
                <w:lang w:val="nl-BE"/>
              </w:rPr>
              <w:t xml:space="preserve"> </w:t>
            </w:r>
            <w:r w:rsidR="002A02BF">
              <w:rPr>
                <w:iCs/>
                <w:sz w:val="24"/>
                <w:szCs w:val="24"/>
                <w:lang w:eastAsia="fr-BE"/>
              </w:rPr>
              <w:t>coll. Grands arrêts</w:t>
            </w:r>
            <w:r w:rsidR="00310EB6" w:rsidRPr="00310EB6">
              <w:rPr>
                <w:sz w:val="24"/>
                <w:szCs w:val="24"/>
                <w:lang w:eastAsia="fr-BE"/>
              </w:rPr>
              <w:t>,</w:t>
            </w:r>
            <w:r w:rsidRPr="00310EB6">
              <w:rPr>
                <w:sz w:val="24"/>
                <w:szCs w:val="24"/>
                <w:lang w:val="nl-BE"/>
              </w:rPr>
              <w:t xml:space="preserve"> Bruxelles, Larcier,</w:t>
            </w:r>
            <w:r w:rsidR="00310EB6" w:rsidRPr="00310EB6">
              <w:rPr>
                <w:sz w:val="24"/>
                <w:szCs w:val="24"/>
                <w:lang w:val="nl-BE"/>
              </w:rPr>
              <w:t xml:space="preserve"> </w:t>
            </w:r>
            <w:r w:rsidRPr="00310EB6">
              <w:rPr>
                <w:sz w:val="24"/>
                <w:szCs w:val="24"/>
                <w:lang w:val="nl-BE"/>
              </w:rPr>
              <w:t>2016</w:t>
            </w:r>
            <w:r w:rsidR="00310EB6">
              <w:rPr>
                <w:sz w:val="24"/>
                <w:szCs w:val="24"/>
                <w:lang w:val="nl-BE"/>
              </w:rPr>
              <w:t xml:space="preserve">, </w:t>
            </w:r>
            <w:r w:rsidR="0041120C">
              <w:rPr>
                <w:sz w:val="24"/>
                <w:szCs w:val="24"/>
                <w:lang w:val="nl-BE"/>
              </w:rPr>
              <w:t>827 pages</w:t>
            </w:r>
            <w:r w:rsidR="007A561A" w:rsidRPr="004877C6">
              <w:rPr>
                <w:sz w:val="24"/>
                <w:szCs w:val="24"/>
                <w:lang w:val="nl-BE"/>
              </w:rPr>
              <w:t>.</w:t>
            </w:r>
            <w:r w:rsidRPr="004877C6">
              <w:rPr>
                <w:sz w:val="24"/>
                <w:szCs w:val="24"/>
                <w:lang w:val="nl-BE"/>
              </w:rPr>
              <w:t xml:space="preserve"> </w:t>
            </w:r>
          </w:p>
          <w:p w14:paraId="14EBEE21" w14:textId="77777777" w:rsidR="00B33401" w:rsidRDefault="007159C1" w:rsidP="007159C1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nl-BE"/>
              </w:rPr>
              <w:t>1</w:t>
            </w:r>
            <w:r w:rsidRPr="00FB7C66">
              <w:rPr>
                <w:sz w:val="24"/>
                <w:szCs w:val="24"/>
                <w:lang w:val="nl-BE"/>
              </w:rPr>
              <w:t xml:space="preserve">. Co-direction, avec </w:t>
            </w:r>
            <w:r w:rsidRPr="00FB7C66">
              <w:rPr>
                <w:smallCaps/>
                <w:sz w:val="24"/>
                <w:szCs w:val="24"/>
                <w:lang w:val="nl-BE"/>
              </w:rPr>
              <w:t xml:space="preserve">H. Dumont </w:t>
            </w:r>
            <w:r w:rsidRPr="00FB7C66">
              <w:rPr>
                <w:sz w:val="24"/>
                <w:szCs w:val="24"/>
                <w:lang w:val="nl-BE"/>
              </w:rPr>
              <w:t xml:space="preserve">et </w:t>
            </w:r>
            <w:r w:rsidRPr="00FB7C66">
              <w:rPr>
                <w:smallCaps/>
                <w:sz w:val="24"/>
                <w:szCs w:val="24"/>
                <w:lang w:val="nl-BE"/>
              </w:rPr>
              <w:t xml:space="preserve">I. Hachez, </w:t>
            </w:r>
            <w:r w:rsidRPr="00FB7C66">
              <w:rPr>
                <w:i/>
                <w:sz w:val="24"/>
                <w:szCs w:val="24"/>
                <w:lang w:val="nl-BE"/>
              </w:rPr>
              <w:t xml:space="preserve">La </w:t>
            </w:r>
            <w:r w:rsidR="00767700">
              <w:rPr>
                <w:i/>
                <w:sz w:val="24"/>
                <w:szCs w:val="24"/>
                <w:lang w:val="nl-BE"/>
              </w:rPr>
              <w:t>s</w:t>
            </w:r>
            <w:r w:rsidRPr="00FB7C66">
              <w:rPr>
                <w:i/>
                <w:sz w:val="24"/>
                <w:szCs w:val="24"/>
                <w:lang w:val="nl-BE"/>
              </w:rPr>
              <w:t>ixième réforme de l’État : l’art de ne pas choisir ou l’art du compromis ?</w:t>
            </w:r>
            <w:r w:rsidRPr="00FB7C66">
              <w:rPr>
                <w:sz w:val="24"/>
                <w:szCs w:val="24"/>
                <w:lang w:val="nl-BE"/>
              </w:rPr>
              <w:t xml:space="preserve">, </w:t>
            </w:r>
            <w:r w:rsidRPr="00FB7C66">
              <w:rPr>
                <w:sz w:val="24"/>
                <w:szCs w:val="24"/>
              </w:rPr>
              <w:t xml:space="preserve">coll. Les dossiers du Journal des tribunaux, Bruxelles, Larcier, </w:t>
            </w:r>
            <w:r>
              <w:rPr>
                <w:sz w:val="24"/>
                <w:szCs w:val="24"/>
              </w:rPr>
              <w:t>2015, 250 pages</w:t>
            </w:r>
            <w:r w:rsidRPr="00FB7C66">
              <w:rPr>
                <w:sz w:val="24"/>
                <w:szCs w:val="24"/>
              </w:rPr>
              <w:t>.</w:t>
            </w:r>
          </w:p>
          <w:p w14:paraId="70AC26DD" w14:textId="77777777" w:rsidR="00B33401" w:rsidRDefault="00B33401" w:rsidP="00B33401">
            <w:pPr>
              <w:pStyle w:val="Corpsdetexte"/>
              <w:rPr>
                <w:sz w:val="24"/>
                <w:szCs w:val="24"/>
                <w:u w:val="single"/>
              </w:rPr>
            </w:pPr>
            <w:r w:rsidRPr="008E6A9C">
              <w:rPr>
                <w:sz w:val="24"/>
                <w:szCs w:val="24"/>
                <w:u w:val="single"/>
              </w:rPr>
              <w:t>Direction de recherche collective</w:t>
            </w:r>
            <w:r w:rsidRPr="00DF335C">
              <w:rPr>
                <w:sz w:val="24"/>
                <w:szCs w:val="24"/>
              </w:rPr>
              <w:t> :</w:t>
            </w:r>
          </w:p>
          <w:p w14:paraId="175BF0C3" w14:textId="1AF5ECD2" w:rsidR="00B33401" w:rsidRPr="00A804A1" w:rsidRDefault="00B33401" w:rsidP="00A804A1">
            <w:pPr>
              <w:widowControl w:val="0"/>
              <w:rPr>
                <w:sz w:val="24"/>
                <w:szCs w:val="24"/>
              </w:rPr>
            </w:pPr>
            <w:r w:rsidRPr="00A804A1">
              <w:rPr>
                <w:sz w:val="24"/>
                <w:szCs w:val="24"/>
              </w:rPr>
              <w:t xml:space="preserve">1. Co-direction, avec L. </w:t>
            </w:r>
            <w:r w:rsidRPr="00A804A1">
              <w:rPr>
                <w:smallCaps/>
                <w:sz w:val="24"/>
                <w:szCs w:val="24"/>
              </w:rPr>
              <w:t xml:space="preserve">Detroux, </w:t>
            </w:r>
            <w:r w:rsidR="00E62F87" w:rsidRPr="00A804A1">
              <w:rPr>
                <w:sz w:val="24"/>
                <w:szCs w:val="24"/>
              </w:rPr>
              <w:t>« La Cour constitutionnelle face au Pacte budgétaire européen</w:t>
            </w:r>
            <w:r w:rsidR="00591E94" w:rsidRPr="00A804A1">
              <w:rPr>
                <w:sz w:val="24"/>
                <w:szCs w:val="24"/>
              </w:rPr>
              <w:t> : un</w:t>
            </w:r>
            <w:r w:rsidR="00ED1CE9" w:rsidRPr="00A804A1">
              <w:rPr>
                <w:sz w:val="24"/>
                <w:szCs w:val="24"/>
              </w:rPr>
              <w:t xml:space="preserve"> arrêt sans intérêt</w:t>
            </w:r>
            <w:r w:rsidR="00591E94" w:rsidRPr="00A804A1">
              <w:rPr>
                <w:sz w:val="24"/>
                <w:szCs w:val="24"/>
              </w:rPr>
              <w:t xml:space="preserve"> ? </w:t>
            </w:r>
            <w:r w:rsidR="00E62F87" w:rsidRPr="00A804A1">
              <w:rPr>
                <w:sz w:val="24"/>
                <w:szCs w:val="24"/>
              </w:rPr>
              <w:t>»</w:t>
            </w:r>
            <w:r w:rsidRPr="00A804A1">
              <w:rPr>
                <w:sz w:val="24"/>
                <w:szCs w:val="24"/>
              </w:rPr>
              <w:t xml:space="preserve">, </w:t>
            </w:r>
            <w:r w:rsidR="00A804A1">
              <w:rPr>
                <w:i/>
                <w:sz w:val="24"/>
                <w:szCs w:val="24"/>
              </w:rPr>
              <w:t>Journal des tribunaux</w:t>
            </w:r>
            <w:r w:rsidR="00172D32" w:rsidRPr="00A804A1">
              <w:rPr>
                <w:sz w:val="24"/>
                <w:szCs w:val="24"/>
              </w:rPr>
              <w:t xml:space="preserve">, </w:t>
            </w:r>
            <w:r w:rsidR="00E62F87" w:rsidRPr="00A804A1">
              <w:rPr>
                <w:sz w:val="24"/>
                <w:szCs w:val="24"/>
              </w:rPr>
              <w:t>à paraître</w:t>
            </w:r>
            <w:r w:rsidRPr="00A804A1">
              <w:rPr>
                <w:sz w:val="24"/>
                <w:szCs w:val="24"/>
              </w:rPr>
              <w:t xml:space="preserve">. La version néerlandaise </w:t>
            </w:r>
            <w:r w:rsidR="00A804A1" w:rsidRPr="00A804A1">
              <w:rPr>
                <w:sz w:val="24"/>
                <w:szCs w:val="24"/>
              </w:rPr>
              <w:t>intitulée « </w:t>
            </w:r>
            <w:r w:rsidR="00A804A1" w:rsidRPr="00A804A1">
              <w:rPr>
                <w:rFonts w:cs="Helvetica"/>
                <w:sz w:val="24"/>
                <w:szCs w:val="24"/>
                <w:lang w:val="nl-BE" w:eastAsia="ja-JP"/>
              </w:rPr>
              <w:t>Het Stabiliteitsverdrag-arrest van het Grondwettelijk Hof: een arrest zonder belang?</w:t>
            </w:r>
            <w:r w:rsidR="00A804A1" w:rsidRPr="00A804A1">
              <w:rPr>
                <w:sz w:val="24"/>
                <w:szCs w:val="24"/>
              </w:rPr>
              <w:t xml:space="preserve"> » sera </w:t>
            </w:r>
            <w:r w:rsidR="00E62F87" w:rsidRPr="00A804A1">
              <w:rPr>
                <w:sz w:val="24"/>
                <w:szCs w:val="24"/>
              </w:rPr>
              <w:t xml:space="preserve"> publiée dans</w:t>
            </w:r>
            <w:r w:rsidRPr="00A804A1">
              <w:rPr>
                <w:sz w:val="24"/>
                <w:szCs w:val="24"/>
              </w:rPr>
              <w:t xml:space="preserve"> </w:t>
            </w:r>
            <w:r w:rsidRPr="00A804A1">
              <w:rPr>
                <w:i/>
                <w:sz w:val="24"/>
                <w:szCs w:val="24"/>
              </w:rPr>
              <w:t>Chronique de droit public/Publiekrechtelijke Kronieken</w:t>
            </w:r>
            <w:r w:rsidR="00E62F87" w:rsidRPr="00A804A1">
              <w:rPr>
                <w:sz w:val="24"/>
                <w:szCs w:val="24"/>
              </w:rPr>
              <w:t xml:space="preserve"> </w:t>
            </w:r>
            <w:r w:rsidR="00591E94" w:rsidRPr="00A804A1">
              <w:rPr>
                <w:sz w:val="24"/>
                <w:szCs w:val="24"/>
              </w:rPr>
              <w:t>également en</w:t>
            </w:r>
            <w:r w:rsidR="00E62F87" w:rsidRPr="00A804A1">
              <w:rPr>
                <w:sz w:val="24"/>
                <w:szCs w:val="24"/>
              </w:rPr>
              <w:t xml:space="preserve"> 2017.</w:t>
            </w:r>
          </w:p>
          <w:p w14:paraId="3C90B71C" w14:textId="77777777" w:rsidR="00A804A1" w:rsidRPr="00A804A1" w:rsidRDefault="00A804A1" w:rsidP="00A804A1">
            <w:pPr>
              <w:widowControl w:val="0"/>
              <w:rPr>
                <w:rFonts w:ascii="Helvetica" w:hAnsi="Helvetica" w:cs="Helvetica"/>
                <w:b/>
                <w:lang w:val="nl-BE" w:eastAsia="ja-JP"/>
              </w:rPr>
            </w:pPr>
          </w:p>
          <w:p w14:paraId="3DBBE87E" w14:textId="57C29663" w:rsidR="001E57CF" w:rsidRDefault="00B051C6" w:rsidP="001E57CF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Monographies</w:t>
            </w:r>
            <w:r w:rsidR="000911AD" w:rsidRPr="00F52148">
              <w:rPr>
                <w:sz w:val="24"/>
                <w:szCs w:val="24"/>
              </w:rPr>
              <w:t xml:space="preserve"> : </w:t>
            </w:r>
          </w:p>
          <w:p w14:paraId="6CD2F4C6" w14:textId="2E769FDC" w:rsidR="00237A9A" w:rsidRPr="00965251" w:rsidRDefault="00237A9A" w:rsidP="000911AD">
            <w:pPr>
              <w:pStyle w:val="Objectifs"/>
              <w:rPr>
                <w:sz w:val="24"/>
                <w:szCs w:val="24"/>
              </w:rPr>
            </w:pPr>
            <w:r w:rsidRPr="00310EB6">
              <w:rPr>
                <w:sz w:val="24"/>
                <w:szCs w:val="24"/>
              </w:rPr>
              <w:t xml:space="preserve">4. avec J. </w:t>
            </w:r>
            <w:r w:rsidRPr="00310EB6">
              <w:rPr>
                <w:smallCaps/>
                <w:sz w:val="24"/>
                <w:szCs w:val="24"/>
              </w:rPr>
              <w:t>Pitseys</w:t>
            </w:r>
            <w:r w:rsidRPr="00310EB6">
              <w:rPr>
                <w:sz w:val="24"/>
                <w:szCs w:val="24"/>
              </w:rPr>
              <w:t xml:space="preserve">, </w:t>
            </w:r>
            <w:r w:rsidRPr="00310EB6">
              <w:rPr>
                <w:i/>
                <w:sz w:val="24"/>
                <w:szCs w:val="24"/>
              </w:rPr>
              <w:t xml:space="preserve">L’obstruction parlementaire en </w:t>
            </w:r>
            <w:r w:rsidR="00310EB6" w:rsidRPr="00310EB6">
              <w:rPr>
                <w:i/>
                <w:sz w:val="24"/>
                <w:szCs w:val="24"/>
              </w:rPr>
              <w:t>Belgique</w:t>
            </w:r>
            <w:r w:rsidR="00310EB6" w:rsidRPr="00310EB6">
              <w:rPr>
                <w:sz w:val="24"/>
                <w:szCs w:val="24"/>
              </w:rPr>
              <w:t>, Courrier hebdoma</w:t>
            </w:r>
            <w:r w:rsidR="008E452A">
              <w:rPr>
                <w:sz w:val="24"/>
                <w:szCs w:val="24"/>
              </w:rPr>
              <w:t>da</w:t>
            </w:r>
            <w:r w:rsidR="00310EB6" w:rsidRPr="00310EB6">
              <w:rPr>
                <w:sz w:val="24"/>
                <w:szCs w:val="24"/>
              </w:rPr>
              <w:t>ire du CRISP, n°</w:t>
            </w:r>
            <w:r w:rsidR="008E452A">
              <w:rPr>
                <w:sz w:val="24"/>
                <w:szCs w:val="24"/>
              </w:rPr>
              <w:t> </w:t>
            </w:r>
            <w:r w:rsidR="00310EB6" w:rsidRPr="00310EB6">
              <w:rPr>
                <w:sz w:val="24"/>
                <w:szCs w:val="24"/>
              </w:rPr>
              <w:t>2289-2290, 2016, 76 pages.</w:t>
            </w:r>
            <w:r w:rsidR="00965251">
              <w:rPr>
                <w:sz w:val="24"/>
                <w:szCs w:val="24"/>
              </w:rPr>
              <w:t xml:space="preserve"> </w:t>
            </w:r>
          </w:p>
          <w:p w14:paraId="74054950" w14:textId="77777777" w:rsidR="000911AD" w:rsidRPr="008D42B9" w:rsidRDefault="000911AD" w:rsidP="000911AD">
            <w:pPr>
              <w:pStyle w:val="Objectif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avec L. </w:t>
            </w:r>
            <w:r w:rsidRPr="00584BC9">
              <w:rPr>
                <w:smallCaps/>
                <w:sz w:val="24"/>
                <w:szCs w:val="24"/>
              </w:rPr>
              <w:t>Vancraeybeck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Droit de l’enseignement en Communauté française</w:t>
            </w:r>
            <w:r>
              <w:rPr>
                <w:sz w:val="24"/>
                <w:szCs w:val="24"/>
              </w:rPr>
              <w:t>, coll. Répertoire pratique du droit belge, Bruxelles, Bruylant, 201</w:t>
            </w:r>
            <w:r w:rsidR="00DE65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452 pages. </w:t>
            </w:r>
          </w:p>
          <w:p w14:paraId="09DA65CC" w14:textId="77777777" w:rsidR="000911AD" w:rsidRPr="00F52148" w:rsidRDefault="000911AD" w:rsidP="000911AD">
            <w:pPr>
              <w:pStyle w:val="Objectif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i/>
                <w:sz w:val="24"/>
                <w:szCs w:val="24"/>
              </w:rPr>
              <w:t>Le régime juridique de la liberté d’enseignement à l’épreuve des politiques scolaires</w:t>
            </w:r>
            <w:r>
              <w:rPr>
                <w:sz w:val="24"/>
                <w:szCs w:val="24"/>
              </w:rPr>
              <w:t>, Bruxelles, Bruylant, 2013, 808 pages.</w:t>
            </w:r>
          </w:p>
          <w:p w14:paraId="1A7FED99" w14:textId="1061CF8C" w:rsidR="007159C1" w:rsidRPr="007159C1" w:rsidRDefault="000911AD" w:rsidP="007159C1">
            <w:pPr>
              <w:pStyle w:val="Objectifs"/>
              <w:rPr>
                <w:sz w:val="24"/>
                <w:szCs w:val="24"/>
                <w:lang w:val="nl-BE"/>
              </w:rPr>
            </w:pPr>
            <w:r w:rsidRPr="00793792">
              <w:rPr>
                <w:sz w:val="24"/>
                <w:szCs w:val="24"/>
              </w:rPr>
              <w:t xml:space="preserve">1. </w:t>
            </w:r>
            <w:r w:rsidRPr="00793792">
              <w:rPr>
                <w:i/>
                <w:sz w:val="24"/>
                <w:szCs w:val="24"/>
              </w:rPr>
              <w:t>La liberté d’enseignement à la lumière de la jurisprudence de la Cour constitutionnelle – Chronique de jurisprudence 1999-2008</w:t>
            </w:r>
            <w:r w:rsidRPr="00793792">
              <w:rPr>
                <w:sz w:val="24"/>
                <w:szCs w:val="24"/>
              </w:rPr>
              <w:t>, coll. Les dossiers du Journal des tribunaux, Bruxelles, Larcier, 2009, n° 73, 103 pages</w:t>
            </w:r>
            <w:r w:rsidR="00D07FAE">
              <w:rPr>
                <w:sz w:val="24"/>
                <w:szCs w:val="24"/>
              </w:rPr>
              <w:t>.</w:t>
            </w:r>
          </w:p>
          <w:p w14:paraId="4CC45305" w14:textId="781F0586" w:rsidR="000F3D2F" w:rsidRPr="00A83FF8" w:rsidRDefault="000911AD" w:rsidP="00A83FF8">
            <w:pPr>
              <w:pStyle w:val="Corpsdetexte"/>
              <w:rPr>
                <w:i/>
                <w:sz w:val="24"/>
                <w:szCs w:val="24"/>
              </w:rPr>
            </w:pPr>
            <w:r w:rsidRPr="00F52148">
              <w:rPr>
                <w:sz w:val="24"/>
                <w:szCs w:val="24"/>
                <w:u w:val="single"/>
              </w:rPr>
              <w:t>Contribution</w:t>
            </w:r>
            <w:r>
              <w:rPr>
                <w:sz w:val="24"/>
                <w:szCs w:val="24"/>
                <w:u w:val="single"/>
              </w:rPr>
              <w:t>s</w:t>
            </w:r>
            <w:r w:rsidRPr="00F52148">
              <w:rPr>
                <w:sz w:val="24"/>
                <w:szCs w:val="24"/>
                <w:u w:val="single"/>
              </w:rPr>
              <w:t xml:space="preserve"> à un ouvrage collectif</w:t>
            </w:r>
            <w:r>
              <w:rPr>
                <w:i/>
                <w:sz w:val="24"/>
                <w:szCs w:val="24"/>
              </w:rPr>
              <w:t> </w:t>
            </w:r>
            <w:r w:rsidRPr="00573069">
              <w:rPr>
                <w:sz w:val="24"/>
                <w:szCs w:val="24"/>
              </w:rPr>
              <w:t>:</w:t>
            </w:r>
          </w:p>
          <w:p w14:paraId="6FE7BB29" w14:textId="58AF5162" w:rsidR="00543AF3" w:rsidRPr="008C3B7D" w:rsidRDefault="0076241B" w:rsidP="00543AF3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1</w:t>
            </w:r>
            <w:r w:rsidR="006856B9">
              <w:rPr>
                <w:sz w:val="24"/>
                <w:szCs w:val="24"/>
                <w:lang w:eastAsia="fr-BE"/>
              </w:rPr>
              <w:t>7</w:t>
            </w:r>
            <w:r w:rsidR="00543AF3" w:rsidRPr="008C3B7D">
              <w:rPr>
                <w:sz w:val="24"/>
                <w:szCs w:val="24"/>
                <w:lang w:eastAsia="fr-BE"/>
              </w:rPr>
              <w:t xml:space="preserve">. avec H. </w:t>
            </w:r>
            <w:r w:rsidR="00543AF3" w:rsidRPr="008C3B7D">
              <w:rPr>
                <w:smallCaps/>
                <w:sz w:val="24"/>
                <w:szCs w:val="24"/>
                <w:lang w:eastAsia="fr-BE"/>
              </w:rPr>
              <w:t>Dumont</w:t>
            </w:r>
            <w:r w:rsidR="00543AF3" w:rsidRPr="008C3B7D">
              <w:rPr>
                <w:sz w:val="24"/>
                <w:szCs w:val="24"/>
                <w:lang w:eastAsia="fr-BE"/>
              </w:rPr>
              <w:t xml:space="preserve">, </w:t>
            </w:r>
            <w:r w:rsidR="008C3B7D" w:rsidRPr="008C3B7D">
              <w:rPr>
                <w:sz w:val="24"/>
                <w:szCs w:val="24"/>
                <w:lang w:eastAsia="fr-BE"/>
              </w:rPr>
              <w:t xml:space="preserve">« Les référendums constitutionnels et constituants dans l’État plurinational belge : un parcours d’obstacles insurmontables ? », </w:t>
            </w:r>
            <w:r w:rsidR="008C3B7D">
              <w:rPr>
                <w:sz w:val="24"/>
                <w:szCs w:val="24"/>
                <w:lang w:eastAsia="fr-BE"/>
              </w:rPr>
              <w:t xml:space="preserve">P. </w:t>
            </w:r>
            <w:r w:rsidR="008C3B7D" w:rsidRPr="008C3B7D">
              <w:rPr>
                <w:smallCaps/>
                <w:sz w:val="24"/>
                <w:szCs w:val="24"/>
                <w:lang w:eastAsia="fr-BE"/>
              </w:rPr>
              <w:t>Taillon</w:t>
            </w:r>
            <w:r w:rsidR="008C3B7D">
              <w:rPr>
                <w:sz w:val="24"/>
                <w:szCs w:val="24"/>
                <w:lang w:eastAsia="fr-BE"/>
              </w:rPr>
              <w:t xml:space="preserve"> (dir.), </w:t>
            </w:r>
            <w:r w:rsidR="008C3B7D">
              <w:rPr>
                <w:i/>
                <w:sz w:val="24"/>
                <w:szCs w:val="24"/>
                <w:lang w:eastAsia="fr-BE"/>
              </w:rPr>
              <w:t>La démocratie référendaire dans les États plurinationaux</w:t>
            </w:r>
            <w:r w:rsidR="008C3B7D">
              <w:rPr>
                <w:sz w:val="24"/>
                <w:szCs w:val="24"/>
                <w:lang w:eastAsia="fr-BE"/>
              </w:rPr>
              <w:t>, à paraître.</w:t>
            </w:r>
          </w:p>
          <w:p w14:paraId="3C845749" w14:textId="77777777" w:rsidR="00543AF3" w:rsidRDefault="00543AF3" w:rsidP="00543AF3">
            <w:pPr>
              <w:rPr>
                <w:color w:val="FF0000"/>
                <w:sz w:val="24"/>
                <w:szCs w:val="24"/>
                <w:lang w:eastAsia="fr-BE"/>
              </w:rPr>
            </w:pPr>
          </w:p>
          <w:p w14:paraId="4A27E70B" w14:textId="127AA153" w:rsidR="00543AF3" w:rsidRPr="008E2192" w:rsidRDefault="0076241B" w:rsidP="00543AF3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1</w:t>
            </w:r>
            <w:r w:rsidR="006856B9">
              <w:rPr>
                <w:sz w:val="24"/>
                <w:szCs w:val="24"/>
                <w:lang w:eastAsia="fr-BE"/>
              </w:rPr>
              <w:t>6</w:t>
            </w:r>
            <w:r w:rsidR="00543AF3" w:rsidRPr="008E2192">
              <w:rPr>
                <w:sz w:val="24"/>
                <w:szCs w:val="24"/>
                <w:lang w:eastAsia="fr-BE"/>
              </w:rPr>
              <w:t xml:space="preserve">. </w:t>
            </w:r>
            <w:r w:rsidR="008E2192" w:rsidRPr="008E2192">
              <w:rPr>
                <w:sz w:val="24"/>
                <w:szCs w:val="24"/>
                <w:lang w:eastAsia="fr-BE"/>
              </w:rPr>
              <w:t xml:space="preserve">« Le statut de l’héritier du trône de </w:t>
            </w:r>
            <w:r w:rsidR="00D056F7">
              <w:rPr>
                <w:sz w:val="24"/>
                <w:szCs w:val="24"/>
                <w:lang w:eastAsia="fr-BE"/>
              </w:rPr>
              <w:t>Belgique : des lacunes constitutionnelles comblées par les lois de circonstance</w:t>
            </w:r>
            <w:r w:rsidR="008E2192" w:rsidRPr="008E2192">
              <w:rPr>
                <w:sz w:val="24"/>
                <w:szCs w:val="24"/>
                <w:lang w:eastAsia="fr-BE"/>
              </w:rPr>
              <w:t xml:space="preserve"> », </w:t>
            </w:r>
            <w:r w:rsidR="0030129A">
              <w:rPr>
                <w:i/>
                <w:sz w:val="24"/>
                <w:szCs w:val="24"/>
              </w:rPr>
              <w:t>La t</w:t>
            </w:r>
            <w:r w:rsidR="008E2192" w:rsidRPr="008E2192">
              <w:rPr>
                <w:i/>
                <w:sz w:val="24"/>
                <w:szCs w:val="24"/>
              </w:rPr>
              <w:t>ransmission du pouvoir monarchique du moyen âge à nos jours</w:t>
            </w:r>
            <w:r w:rsidR="008E2192" w:rsidRPr="008E2192">
              <w:rPr>
                <w:i/>
                <w:sz w:val="24"/>
                <w:szCs w:val="24"/>
                <w:lang w:eastAsia="fr-BE"/>
              </w:rPr>
              <w:t>. Entre droits et devoirs</w:t>
            </w:r>
            <w:r w:rsidR="008E2192" w:rsidRPr="008E2192">
              <w:rPr>
                <w:sz w:val="24"/>
                <w:szCs w:val="24"/>
                <w:lang w:eastAsia="fr-BE"/>
              </w:rPr>
              <w:t>, coll. A</w:t>
            </w:r>
            <w:r w:rsidR="008E2192" w:rsidRPr="008E2192">
              <w:rPr>
                <w:sz w:val="24"/>
                <w:szCs w:val="24"/>
              </w:rPr>
              <w:t>nciens Pays et Assemblées d’</w:t>
            </w:r>
            <w:r w:rsidR="008E452A">
              <w:rPr>
                <w:sz w:val="24"/>
                <w:szCs w:val="24"/>
              </w:rPr>
              <w:t>É</w:t>
            </w:r>
            <w:r w:rsidR="008E2192" w:rsidRPr="008E2192">
              <w:rPr>
                <w:sz w:val="24"/>
                <w:szCs w:val="24"/>
              </w:rPr>
              <w:t>tats/Standen en Landen, à paraître.</w:t>
            </w:r>
          </w:p>
          <w:p w14:paraId="252EA2F1" w14:textId="77777777" w:rsidR="00237A9A" w:rsidRDefault="00237A9A" w:rsidP="000911AD">
            <w:pPr>
              <w:rPr>
                <w:color w:val="FF0000"/>
                <w:sz w:val="24"/>
                <w:szCs w:val="24"/>
                <w:lang w:eastAsia="fr-BE"/>
              </w:rPr>
            </w:pPr>
          </w:p>
          <w:p w14:paraId="7615C04A" w14:textId="4D88B93E" w:rsidR="000732E2" w:rsidRDefault="0076241B" w:rsidP="000732E2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1</w:t>
            </w:r>
            <w:r w:rsidR="006856B9">
              <w:rPr>
                <w:sz w:val="24"/>
                <w:szCs w:val="24"/>
                <w:lang w:eastAsia="fr-BE"/>
              </w:rPr>
              <w:t>5</w:t>
            </w:r>
            <w:r w:rsidR="000732E2" w:rsidRPr="006E4405">
              <w:rPr>
                <w:sz w:val="24"/>
                <w:szCs w:val="24"/>
                <w:lang w:eastAsia="fr-BE"/>
              </w:rPr>
              <w:t xml:space="preserve">. avec L. </w:t>
            </w:r>
            <w:r w:rsidR="000732E2" w:rsidRPr="006E4405">
              <w:rPr>
                <w:smallCaps/>
                <w:sz w:val="24"/>
                <w:szCs w:val="24"/>
                <w:lang w:eastAsia="fr-BE"/>
              </w:rPr>
              <w:t xml:space="preserve">Losseau </w:t>
            </w:r>
            <w:r w:rsidR="000732E2" w:rsidRPr="006E4405">
              <w:rPr>
                <w:sz w:val="24"/>
                <w:szCs w:val="24"/>
                <w:lang w:eastAsia="fr-BE"/>
              </w:rPr>
              <w:t xml:space="preserve">et </w:t>
            </w:r>
            <w:r w:rsidR="000732E2" w:rsidRPr="006E4405">
              <w:rPr>
                <w:smallCaps/>
                <w:sz w:val="24"/>
                <w:szCs w:val="24"/>
                <w:lang w:eastAsia="fr-BE"/>
              </w:rPr>
              <w:t xml:space="preserve">S. van Drooghenbroeck, « </w:t>
            </w:r>
            <w:r w:rsidR="000732E2" w:rsidRPr="006E4405">
              <w:rPr>
                <w:sz w:val="24"/>
                <w:szCs w:val="24"/>
              </w:rPr>
              <w:t xml:space="preserve">Vers une Belgique à quatre ? Les compétences communautaires à Bruxelles après la sixième réforme de l’État </w:t>
            </w:r>
            <w:r w:rsidR="000732E2" w:rsidRPr="006E4405">
              <w:rPr>
                <w:smallCaps/>
                <w:sz w:val="24"/>
                <w:szCs w:val="24"/>
                <w:lang w:eastAsia="fr-BE"/>
              </w:rPr>
              <w:t>», E. Vandenbossche (</w:t>
            </w:r>
            <w:r w:rsidR="000732E2" w:rsidRPr="00715836">
              <w:rPr>
                <w:sz w:val="24"/>
                <w:szCs w:val="24"/>
                <w:lang w:eastAsia="fr-BE"/>
              </w:rPr>
              <w:t>dir</w:t>
            </w:r>
            <w:r w:rsidR="000732E2" w:rsidRPr="006E4405">
              <w:rPr>
                <w:smallCaps/>
                <w:sz w:val="24"/>
                <w:szCs w:val="24"/>
                <w:lang w:eastAsia="fr-BE"/>
              </w:rPr>
              <w:t xml:space="preserve">.), </w:t>
            </w:r>
            <w:r w:rsidR="000732E2" w:rsidRPr="006E4405">
              <w:rPr>
                <w:i/>
                <w:sz w:val="24"/>
                <w:szCs w:val="24"/>
                <w:lang w:eastAsia="fr-BE"/>
              </w:rPr>
              <w:t>De Brusselse instellingen anno 2014 / Les institutions bruxelloises en 2014</w:t>
            </w:r>
            <w:r w:rsidR="000732E2" w:rsidRPr="006E4405">
              <w:rPr>
                <w:sz w:val="24"/>
                <w:szCs w:val="24"/>
                <w:lang w:eastAsia="fr-BE"/>
              </w:rPr>
              <w:t xml:space="preserve">, </w:t>
            </w:r>
            <w:r w:rsidR="000732E2">
              <w:rPr>
                <w:sz w:val="24"/>
                <w:szCs w:val="24"/>
                <w:lang w:eastAsia="fr-BE"/>
              </w:rPr>
              <w:t>Bruges</w:t>
            </w:r>
            <w:r w:rsidR="000732E2" w:rsidRPr="006E4405">
              <w:rPr>
                <w:sz w:val="24"/>
                <w:szCs w:val="24"/>
                <w:lang w:eastAsia="fr-BE"/>
              </w:rPr>
              <w:t xml:space="preserve">, </w:t>
            </w:r>
            <w:r w:rsidR="000732E2">
              <w:rPr>
                <w:sz w:val="24"/>
                <w:szCs w:val="24"/>
                <w:lang w:eastAsia="fr-BE"/>
              </w:rPr>
              <w:t>die Keure</w:t>
            </w:r>
            <w:r w:rsidR="000732E2" w:rsidRPr="006E4405">
              <w:rPr>
                <w:sz w:val="24"/>
                <w:szCs w:val="24"/>
                <w:lang w:eastAsia="fr-BE"/>
              </w:rPr>
              <w:t>, à paraître.</w:t>
            </w:r>
          </w:p>
          <w:p w14:paraId="17DF7645" w14:textId="77777777" w:rsidR="00B33401" w:rsidRDefault="00B33401" w:rsidP="000732E2">
            <w:pPr>
              <w:rPr>
                <w:sz w:val="24"/>
                <w:szCs w:val="24"/>
                <w:lang w:eastAsia="fr-BE"/>
              </w:rPr>
            </w:pPr>
          </w:p>
          <w:p w14:paraId="364CDC5F" w14:textId="7AE8597F" w:rsidR="006856B9" w:rsidRDefault="006856B9" w:rsidP="00685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BE"/>
              </w:rPr>
              <w:t>14</w:t>
            </w:r>
            <w:r w:rsidRPr="007757F2">
              <w:rPr>
                <w:sz w:val="24"/>
                <w:szCs w:val="24"/>
                <w:lang w:eastAsia="fr-BE"/>
              </w:rPr>
              <w:t xml:space="preserve">. avec H. </w:t>
            </w:r>
            <w:r w:rsidRPr="007757F2">
              <w:rPr>
                <w:smallCaps/>
                <w:sz w:val="24"/>
                <w:szCs w:val="24"/>
                <w:lang w:eastAsia="fr-BE"/>
              </w:rPr>
              <w:t>Dumont</w:t>
            </w:r>
            <w:r w:rsidRPr="007757F2">
              <w:rPr>
                <w:sz w:val="24"/>
                <w:szCs w:val="24"/>
                <w:lang w:eastAsia="fr-BE"/>
              </w:rPr>
              <w:t xml:space="preserve">, </w:t>
            </w:r>
            <w:r w:rsidRPr="007757F2">
              <w:rPr>
                <w:sz w:val="24"/>
                <w:szCs w:val="24"/>
              </w:rPr>
              <w:t xml:space="preserve">« La reconnaissance constitutionnelle du droit de demander la sécession dans les Etats plurinationaux », </w:t>
            </w:r>
            <w:r>
              <w:rPr>
                <w:sz w:val="24"/>
                <w:szCs w:val="24"/>
              </w:rPr>
              <w:t xml:space="preserve">A.-G. </w:t>
            </w:r>
            <w:r w:rsidRPr="005A0240">
              <w:rPr>
                <w:smallCaps/>
                <w:sz w:val="24"/>
                <w:szCs w:val="24"/>
              </w:rPr>
              <w:t>Gagnon</w:t>
            </w:r>
            <w:r>
              <w:rPr>
                <w:sz w:val="24"/>
                <w:szCs w:val="24"/>
              </w:rPr>
              <w:t xml:space="preserve"> (dir.), </w:t>
            </w:r>
            <w:r w:rsidRPr="007757F2">
              <w:rPr>
                <w:i/>
                <w:sz w:val="24"/>
                <w:szCs w:val="24"/>
              </w:rPr>
              <w:t>Constitutionnalisme, droits et diversité. Mélanges en l’honneur de José Woehrling</w:t>
            </w:r>
            <w:r w:rsidRPr="007757F2">
              <w:rPr>
                <w:sz w:val="24"/>
                <w:szCs w:val="24"/>
              </w:rPr>
              <w:t xml:space="preserve">, </w:t>
            </w:r>
            <w:r w:rsidR="008D43D0">
              <w:rPr>
                <w:sz w:val="24"/>
                <w:szCs w:val="24"/>
              </w:rPr>
              <w:t xml:space="preserve">2017, </w:t>
            </w:r>
            <w:r w:rsidRPr="007757F2">
              <w:rPr>
                <w:sz w:val="24"/>
                <w:szCs w:val="24"/>
              </w:rPr>
              <w:t>à paraître.</w:t>
            </w:r>
          </w:p>
          <w:p w14:paraId="3DAEF9A9" w14:textId="77777777" w:rsidR="006856B9" w:rsidRPr="007757F2" w:rsidRDefault="006856B9" w:rsidP="006856B9">
            <w:pPr>
              <w:rPr>
                <w:sz w:val="24"/>
                <w:szCs w:val="24"/>
                <w:lang w:eastAsia="fr-BE"/>
              </w:rPr>
            </w:pPr>
          </w:p>
          <w:p w14:paraId="5709410C" w14:textId="0EAB8827" w:rsidR="00B33401" w:rsidRPr="004D0899" w:rsidRDefault="00B33401" w:rsidP="00F86F39">
            <w:pPr>
              <w:pStyle w:val="NormalWeb"/>
              <w:rPr>
                <w:rFonts w:ascii="Garamond" w:hAnsi="Garamond"/>
                <w:sz w:val="20"/>
                <w:szCs w:val="20"/>
                <w:lang w:eastAsia="fr-FR"/>
              </w:rPr>
            </w:pPr>
            <w:r w:rsidRPr="004D0899">
              <w:rPr>
                <w:rFonts w:ascii="Garamond" w:hAnsi="Garamond"/>
                <w:lang w:eastAsia="fr-BE"/>
              </w:rPr>
              <w:t xml:space="preserve">13. avec H. </w:t>
            </w:r>
            <w:r w:rsidRPr="004D0899">
              <w:rPr>
                <w:rFonts w:ascii="Garamond" w:hAnsi="Garamond"/>
                <w:smallCaps/>
                <w:lang w:eastAsia="fr-BE"/>
              </w:rPr>
              <w:t>Dumont, « </w:t>
            </w:r>
            <w:r w:rsidRPr="004D0899">
              <w:rPr>
                <w:rFonts w:ascii="Garamond" w:hAnsi="Garamond"/>
                <w:lang w:eastAsia="fr-BE"/>
              </w:rPr>
              <w:t>Pour une Belgique à 4 + 1</w:t>
            </w:r>
            <w:r w:rsidRPr="004D0899">
              <w:rPr>
                <w:rFonts w:ascii="Garamond" w:hAnsi="Garamond"/>
                <w:smallCaps/>
                <w:lang w:eastAsia="fr-BE"/>
              </w:rPr>
              <w:t xml:space="preserve"> », </w:t>
            </w:r>
            <w:r w:rsidR="00A25006" w:rsidRPr="004D0899">
              <w:rPr>
                <w:rFonts w:ascii="Garamond" w:hAnsi="Garamond"/>
                <w:i/>
                <w:lang w:eastAsia="fr-BE"/>
              </w:rPr>
              <w:t>Les particularités de la structure fédérale belge et ses effets sur le statut juridique de la Communauté germanophone</w:t>
            </w:r>
            <w:r w:rsidR="00A25006" w:rsidRPr="004D0899">
              <w:rPr>
                <w:rFonts w:ascii="Garamond" w:hAnsi="Garamond"/>
                <w:lang w:eastAsia="fr-BE"/>
              </w:rPr>
              <w:t>, actes du colloque organisé le 16 septembre 2016 par le Parlement de la Communauté germanophone</w:t>
            </w:r>
            <w:r w:rsidR="000973DB" w:rsidRPr="004D0899">
              <w:rPr>
                <w:rFonts w:ascii="Garamond" w:hAnsi="Garamond"/>
                <w:lang w:eastAsia="fr-BE"/>
              </w:rPr>
              <w:t xml:space="preserve">, </w:t>
            </w:r>
            <w:r w:rsidR="00F86F39" w:rsidRPr="004D0899">
              <w:rPr>
                <w:rFonts w:ascii="Garamond" w:hAnsi="Garamond"/>
                <w:lang w:eastAsia="fr-BE"/>
              </w:rPr>
              <w:t xml:space="preserve">Eupen, </w:t>
            </w:r>
            <w:r w:rsidR="00F86F39" w:rsidRPr="004D0899">
              <w:rPr>
                <w:rFonts w:ascii="Garamond" w:hAnsi="Garamond"/>
                <w:lang w:eastAsia="fr-FR"/>
              </w:rPr>
              <w:t xml:space="preserve">Schriftenreihe der Deutschsprachigen Gemeinschaft </w:t>
            </w:r>
            <w:r w:rsidR="00EB5585">
              <w:rPr>
                <w:rFonts w:ascii="Garamond" w:hAnsi="Garamond"/>
                <w:lang w:eastAsia="fr-FR"/>
              </w:rPr>
              <w:t xml:space="preserve">Belgiens </w:t>
            </w:r>
            <w:r w:rsidR="00F86F39" w:rsidRPr="004D0899">
              <w:rPr>
                <w:rFonts w:ascii="Garamond" w:hAnsi="Garamond"/>
                <w:lang w:eastAsia="fr-FR"/>
              </w:rPr>
              <w:t>- Band 3, 2017, p. 43 à 6</w:t>
            </w:r>
            <w:r w:rsidR="00EB5585">
              <w:rPr>
                <w:rFonts w:ascii="Garamond" w:hAnsi="Garamond"/>
                <w:lang w:eastAsia="fr-FR"/>
              </w:rPr>
              <w:t>1</w:t>
            </w:r>
            <w:r w:rsidR="000973DB" w:rsidRPr="004D0899">
              <w:rPr>
                <w:rFonts w:ascii="Garamond" w:hAnsi="Garamond"/>
                <w:lang w:eastAsia="fr-BE"/>
              </w:rPr>
              <w:t>.</w:t>
            </w:r>
          </w:p>
          <w:p w14:paraId="044D1AF6" w14:textId="77777777" w:rsidR="00AD164B" w:rsidRPr="006E4405" w:rsidRDefault="00AD164B" w:rsidP="000911AD">
            <w:pPr>
              <w:rPr>
                <w:sz w:val="24"/>
                <w:szCs w:val="24"/>
                <w:lang w:eastAsia="fr-BE"/>
              </w:rPr>
            </w:pPr>
          </w:p>
          <w:p w14:paraId="62DF7213" w14:textId="07E137E3" w:rsidR="0076241B" w:rsidRDefault="003B5FFC" w:rsidP="0076241B">
            <w:pPr>
              <w:rPr>
                <w:rFonts w:cs="Helvetica"/>
                <w:sz w:val="24"/>
                <w:szCs w:val="24"/>
                <w:lang w:val="fr-FR" w:eastAsia="fr-BE"/>
              </w:rPr>
            </w:pPr>
            <w:r>
              <w:rPr>
                <w:sz w:val="24"/>
                <w:szCs w:val="24"/>
                <w:lang w:val="fr-FR" w:eastAsia="fr-BE"/>
              </w:rPr>
              <w:t>12</w:t>
            </w:r>
            <w:r w:rsidR="0076241B">
              <w:rPr>
                <w:sz w:val="24"/>
                <w:szCs w:val="24"/>
                <w:lang w:eastAsia="fr-BE"/>
              </w:rPr>
              <w:t xml:space="preserve">. avec H. </w:t>
            </w:r>
            <w:r w:rsidR="0076241B" w:rsidRPr="00867E6A">
              <w:rPr>
                <w:smallCaps/>
                <w:sz w:val="24"/>
                <w:szCs w:val="24"/>
                <w:lang w:eastAsia="fr-BE"/>
              </w:rPr>
              <w:t>Dumont</w:t>
            </w:r>
            <w:r w:rsidR="0076241B">
              <w:rPr>
                <w:sz w:val="24"/>
                <w:szCs w:val="24"/>
                <w:lang w:eastAsia="fr-BE"/>
              </w:rPr>
              <w:t xml:space="preserve">, « L’Etat fédéral plurinational : tentative de définition juridique », </w:t>
            </w:r>
            <w:r w:rsidR="006A64CE">
              <w:rPr>
                <w:sz w:val="24"/>
                <w:szCs w:val="24"/>
                <w:lang w:eastAsia="fr-BE"/>
              </w:rPr>
              <w:t xml:space="preserve">P. </w:t>
            </w:r>
            <w:r w:rsidR="00711E46">
              <w:rPr>
                <w:smallCaps/>
                <w:sz w:val="24"/>
                <w:szCs w:val="24"/>
                <w:lang w:eastAsia="fr-BE"/>
              </w:rPr>
              <w:t>d'</w:t>
            </w:r>
            <w:r w:rsidR="006A64CE" w:rsidRPr="006A64CE">
              <w:rPr>
                <w:smallCaps/>
                <w:sz w:val="24"/>
                <w:szCs w:val="24"/>
                <w:lang w:eastAsia="fr-BE"/>
              </w:rPr>
              <w:t>Argent</w:t>
            </w:r>
            <w:r w:rsidR="006A64CE" w:rsidRPr="006A64CE">
              <w:rPr>
                <w:sz w:val="24"/>
                <w:szCs w:val="24"/>
                <w:lang w:eastAsia="fr-BE"/>
              </w:rPr>
              <w:t xml:space="preserve">, </w:t>
            </w:r>
            <w:r w:rsidR="006A64CE">
              <w:rPr>
                <w:sz w:val="24"/>
                <w:szCs w:val="24"/>
                <w:lang w:eastAsia="fr-BE"/>
              </w:rPr>
              <w:t xml:space="preserve">D. </w:t>
            </w:r>
            <w:r w:rsidR="006A64CE" w:rsidRPr="006A64CE">
              <w:rPr>
                <w:smallCaps/>
                <w:sz w:val="24"/>
                <w:szCs w:val="24"/>
                <w:lang w:eastAsia="fr-BE"/>
              </w:rPr>
              <w:t>Renders</w:t>
            </w:r>
            <w:r w:rsidR="006A64CE">
              <w:rPr>
                <w:sz w:val="24"/>
                <w:szCs w:val="24"/>
                <w:lang w:eastAsia="fr-BE"/>
              </w:rPr>
              <w:t xml:space="preserve"> et M. </w:t>
            </w:r>
            <w:r w:rsidR="006A64CE" w:rsidRPr="006A64CE">
              <w:rPr>
                <w:smallCaps/>
                <w:sz w:val="24"/>
                <w:szCs w:val="24"/>
                <w:lang w:eastAsia="fr-BE"/>
              </w:rPr>
              <w:t>Verdussen</w:t>
            </w:r>
            <w:r w:rsidR="006A64CE">
              <w:rPr>
                <w:sz w:val="24"/>
                <w:szCs w:val="24"/>
                <w:lang w:eastAsia="fr-BE"/>
              </w:rPr>
              <w:t xml:space="preserve"> (coord.),</w:t>
            </w:r>
            <w:r w:rsidR="006A64CE" w:rsidRPr="006A64CE">
              <w:rPr>
                <w:sz w:val="24"/>
                <w:szCs w:val="24"/>
                <w:lang w:eastAsia="fr-BE"/>
              </w:rPr>
              <w:t xml:space="preserve"> </w:t>
            </w:r>
            <w:r w:rsidR="0076241B" w:rsidRPr="005470D3">
              <w:rPr>
                <w:rFonts w:cs="Helvetica"/>
                <w:i/>
                <w:iCs/>
                <w:sz w:val="24"/>
                <w:szCs w:val="24"/>
                <w:lang w:val="fr-FR" w:eastAsia="fr-BE"/>
              </w:rPr>
              <w:t>Les visages de l'Etat</w:t>
            </w:r>
            <w:r w:rsidR="005072E1">
              <w:rPr>
                <w:rFonts w:cs="Helvetica"/>
                <w:sz w:val="24"/>
                <w:szCs w:val="24"/>
                <w:lang w:val="fr-FR" w:eastAsia="fr-BE"/>
              </w:rPr>
              <w:t xml:space="preserve"> - </w:t>
            </w:r>
            <w:r w:rsidR="005072E1" w:rsidRPr="00867E6A">
              <w:rPr>
                <w:rFonts w:cs="Helvetica"/>
                <w:i/>
                <w:iCs/>
                <w:sz w:val="24"/>
                <w:szCs w:val="24"/>
                <w:lang w:val="fr-FR" w:eastAsia="fr-BE"/>
              </w:rPr>
              <w:t>Liber</w:t>
            </w:r>
            <w:r w:rsidR="005072E1">
              <w:rPr>
                <w:rFonts w:cs="Helvetica"/>
                <w:i/>
                <w:iCs/>
                <w:sz w:val="24"/>
                <w:szCs w:val="24"/>
                <w:lang w:val="fr-FR" w:eastAsia="fr-BE"/>
              </w:rPr>
              <w:t xml:space="preserve"> Amicorum Yves Lejeune</w:t>
            </w:r>
            <w:r w:rsidR="005072E1">
              <w:rPr>
                <w:rFonts w:cs="Helvetica"/>
                <w:iCs/>
                <w:sz w:val="24"/>
                <w:szCs w:val="24"/>
                <w:lang w:val="fr-FR" w:eastAsia="fr-BE"/>
              </w:rPr>
              <w:t>,</w:t>
            </w:r>
            <w:r w:rsidR="0076241B">
              <w:rPr>
                <w:rFonts w:cs="Helvetica"/>
                <w:sz w:val="24"/>
                <w:szCs w:val="24"/>
                <w:lang w:val="fr-FR" w:eastAsia="fr-BE"/>
              </w:rPr>
              <w:t xml:space="preserve"> Bruxelles, Larcier, 2017, </w:t>
            </w:r>
            <w:r w:rsidR="005072E1">
              <w:rPr>
                <w:rFonts w:cs="Helvetica"/>
                <w:sz w:val="24"/>
                <w:szCs w:val="24"/>
                <w:lang w:val="fr-FR" w:eastAsia="fr-BE"/>
              </w:rPr>
              <w:t xml:space="preserve">p. </w:t>
            </w:r>
            <w:r w:rsidR="006722B8">
              <w:rPr>
                <w:rFonts w:cs="Helvetica"/>
                <w:sz w:val="24"/>
                <w:szCs w:val="24"/>
                <w:lang w:val="fr-FR" w:eastAsia="fr-BE"/>
              </w:rPr>
              <w:t>363</w:t>
            </w:r>
            <w:r w:rsidR="005072E1">
              <w:rPr>
                <w:rFonts w:cs="Helvetica"/>
                <w:sz w:val="24"/>
                <w:szCs w:val="24"/>
                <w:lang w:val="fr-FR" w:eastAsia="fr-BE"/>
              </w:rPr>
              <w:t xml:space="preserve"> à </w:t>
            </w:r>
            <w:r w:rsidR="006722B8">
              <w:rPr>
                <w:rFonts w:cs="Helvetica"/>
                <w:sz w:val="24"/>
                <w:szCs w:val="24"/>
                <w:lang w:val="fr-FR" w:eastAsia="fr-BE"/>
              </w:rPr>
              <w:t>390</w:t>
            </w:r>
            <w:r w:rsidR="005072E1">
              <w:rPr>
                <w:rFonts w:cs="Helvetica"/>
                <w:sz w:val="24"/>
                <w:szCs w:val="24"/>
                <w:lang w:val="fr-FR" w:eastAsia="fr-BE"/>
              </w:rPr>
              <w:t>.</w:t>
            </w:r>
          </w:p>
          <w:p w14:paraId="31282C2E" w14:textId="77777777" w:rsidR="0076241B" w:rsidRDefault="0076241B" w:rsidP="0076241B">
            <w:pPr>
              <w:rPr>
                <w:sz w:val="24"/>
                <w:szCs w:val="24"/>
                <w:lang w:val="fr-FR" w:eastAsia="fr-BE"/>
              </w:rPr>
            </w:pPr>
          </w:p>
          <w:p w14:paraId="0BF35701" w14:textId="0353C521" w:rsidR="000911AD" w:rsidRDefault="00AD164B" w:rsidP="000911AD">
            <w:pPr>
              <w:rPr>
                <w:sz w:val="24"/>
                <w:szCs w:val="24"/>
                <w:lang w:val="nl-BE"/>
              </w:rPr>
            </w:pPr>
            <w:r w:rsidRPr="003D4C26">
              <w:rPr>
                <w:sz w:val="24"/>
                <w:szCs w:val="24"/>
                <w:lang w:eastAsia="fr-BE"/>
              </w:rPr>
              <w:t>1</w:t>
            </w:r>
            <w:r w:rsidR="004803BC">
              <w:rPr>
                <w:sz w:val="24"/>
                <w:szCs w:val="24"/>
                <w:lang w:eastAsia="fr-BE"/>
              </w:rPr>
              <w:t>1</w:t>
            </w:r>
            <w:r w:rsidRPr="003D4C26">
              <w:rPr>
                <w:sz w:val="24"/>
                <w:szCs w:val="24"/>
                <w:lang w:eastAsia="fr-BE"/>
              </w:rPr>
              <w:t xml:space="preserve">. </w:t>
            </w:r>
            <w:r w:rsidR="003D4C26" w:rsidRPr="00310EB6">
              <w:rPr>
                <w:i/>
                <w:sz w:val="24"/>
                <w:szCs w:val="24"/>
                <w:lang w:val="nl-BE"/>
              </w:rPr>
              <w:t>Les grands arrêts du droit de l’enseignement</w:t>
            </w:r>
            <w:r w:rsidR="00C90A17">
              <w:rPr>
                <w:sz w:val="24"/>
                <w:szCs w:val="24"/>
                <w:lang w:val="nl-BE"/>
              </w:rPr>
              <w:t>, Bruxelles, Larcier, 2016</w:t>
            </w:r>
            <w:r w:rsidR="003D4C26">
              <w:rPr>
                <w:sz w:val="24"/>
                <w:szCs w:val="24"/>
                <w:lang w:val="nl-BE"/>
              </w:rPr>
              <w:t>. Outre la co-direction</w:t>
            </w:r>
            <w:r w:rsidR="0036106A">
              <w:rPr>
                <w:sz w:val="24"/>
                <w:szCs w:val="24"/>
                <w:lang w:val="nl-BE"/>
              </w:rPr>
              <w:t xml:space="preserve"> de l’ouvrage</w:t>
            </w:r>
            <w:r w:rsidR="003D4C26">
              <w:rPr>
                <w:sz w:val="24"/>
                <w:szCs w:val="24"/>
                <w:lang w:val="nl-BE"/>
              </w:rPr>
              <w:t>, rédaction des chapitres suivants :</w:t>
            </w:r>
          </w:p>
          <w:p w14:paraId="752D05D2" w14:textId="3A962170" w:rsidR="005E3812" w:rsidRDefault="005E3812" w:rsidP="000911AD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     1° avec X. </w:t>
            </w:r>
            <w:r w:rsidRPr="005E3812">
              <w:rPr>
                <w:smallCaps/>
                <w:sz w:val="24"/>
                <w:szCs w:val="24"/>
                <w:lang w:val="nl-BE"/>
              </w:rPr>
              <w:t>Delgrange</w:t>
            </w:r>
            <w:r>
              <w:rPr>
                <w:sz w:val="24"/>
                <w:szCs w:val="24"/>
                <w:lang w:val="nl-BE"/>
              </w:rPr>
              <w:t xml:space="preserve"> et L. </w:t>
            </w:r>
            <w:r w:rsidRPr="005E3812">
              <w:rPr>
                <w:smallCaps/>
                <w:sz w:val="24"/>
                <w:szCs w:val="24"/>
                <w:lang w:val="nl-BE"/>
              </w:rPr>
              <w:t>Detroux</w:t>
            </w:r>
            <w:r>
              <w:rPr>
                <w:sz w:val="24"/>
                <w:szCs w:val="24"/>
                <w:lang w:val="nl-BE"/>
              </w:rPr>
              <w:t xml:space="preserve">, </w:t>
            </w:r>
            <w:r w:rsidR="004877C6" w:rsidRPr="007C7294">
              <w:rPr>
                <w:sz w:val="24"/>
                <w:szCs w:val="24"/>
                <w:lang w:eastAsia="fr-BE"/>
              </w:rPr>
              <w:t>«</w:t>
            </w:r>
            <w:r w:rsidR="004877C6">
              <w:rPr>
                <w:sz w:val="24"/>
                <w:szCs w:val="24"/>
                <w:lang w:eastAsia="fr-BE"/>
              </w:rPr>
              <w:t xml:space="preserve"> </w:t>
            </w:r>
            <w:r>
              <w:rPr>
                <w:sz w:val="24"/>
                <w:szCs w:val="24"/>
                <w:lang w:val="nl-BE"/>
              </w:rPr>
              <w:t>Introduction</w:t>
            </w:r>
            <w:r w:rsidR="004877C6">
              <w:rPr>
                <w:sz w:val="24"/>
                <w:szCs w:val="24"/>
                <w:lang w:val="nl-BE"/>
              </w:rPr>
              <w:t xml:space="preserve"> : l’école du juge </w:t>
            </w:r>
            <w:r w:rsidR="004877C6">
              <w:rPr>
                <w:sz w:val="24"/>
                <w:szCs w:val="24"/>
                <w:lang w:eastAsia="fr-BE"/>
              </w:rPr>
              <w:t>»</w:t>
            </w:r>
            <w:r w:rsidR="0041120C">
              <w:rPr>
                <w:sz w:val="24"/>
                <w:szCs w:val="24"/>
                <w:lang w:eastAsia="fr-BE"/>
              </w:rPr>
              <w:t>, p. 9 à 20</w:t>
            </w:r>
            <w:r w:rsidR="004877C6">
              <w:rPr>
                <w:sz w:val="24"/>
                <w:szCs w:val="24"/>
                <w:lang w:val="nl-BE"/>
              </w:rPr>
              <w:t xml:space="preserve"> ; </w:t>
            </w:r>
          </w:p>
          <w:p w14:paraId="16D7A40A" w14:textId="6FCB2B8F" w:rsidR="003D4C26" w:rsidRDefault="003D4C26" w:rsidP="000911AD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val="nl-BE"/>
              </w:rPr>
              <w:t xml:space="preserve">     </w:t>
            </w:r>
            <w:r w:rsidR="005E3812">
              <w:rPr>
                <w:sz w:val="24"/>
                <w:szCs w:val="24"/>
                <w:lang w:val="nl-BE"/>
              </w:rPr>
              <w:t>2</w:t>
            </w:r>
            <w:r>
              <w:rPr>
                <w:sz w:val="24"/>
                <w:szCs w:val="24"/>
                <w:lang w:val="nl-BE"/>
              </w:rPr>
              <w:t xml:space="preserve">° </w:t>
            </w:r>
            <w:r w:rsidRPr="007C7294">
              <w:rPr>
                <w:sz w:val="24"/>
                <w:szCs w:val="24"/>
                <w:lang w:eastAsia="fr-BE"/>
              </w:rPr>
              <w:t>«</w:t>
            </w:r>
            <w:r w:rsidR="00A4650B">
              <w:rPr>
                <w:sz w:val="24"/>
                <w:szCs w:val="24"/>
                <w:lang w:eastAsia="fr-BE"/>
              </w:rPr>
              <w:t xml:space="preserve"> </w:t>
            </w:r>
            <w:r w:rsidR="004877C6">
              <w:rPr>
                <w:sz w:val="24"/>
                <w:szCs w:val="24"/>
                <w:lang w:eastAsia="fr-BE"/>
              </w:rPr>
              <w:t>La liberté pédagogique »</w:t>
            </w:r>
            <w:r w:rsidR="0041120C">
              <w:rPr>
                <w:sz w:val="24"/>
                <w:szCs w:val="24"/>
                <w:lang w:eastAsia="fr-BE"/>
              </w:rPr>
              <w:t>, p. 45</w:t>
            </w:r>
            <w:r w:rsidR="004877C6">
              <w:rPr>
                <w:sz w:val="24"/>
                <w:szCs w:val="24"/>
                <w:lang w:eastAsia="fr-BE"/>
              </w:rPr>
              <w:t> </w:t>
            </w:r>
            <w:r w:rsidR="0041120C">
              <w:rPr>
                <w:sz w:val="24"/>
                <w:szCs w:val="24"/>
                <w:lang w:eastAsia="fr-BE"/>
              </w:rPr>
              <w:t xml:space="preserve">à 58 </w:t>
            </w:r>
            <w:r w:rsidR="004877C6">
              <w:rPr>
                <w:sz w:val="24"/>
                <w:szCs w:val="24"/>
                <w:lang w:eastAsia="fr-BE"/>
              </w:rPr>
              <w:t xml:space="preserve">; </w:t>
            </w:r>
          </w:p>
          <w:p w14:paraId="4D792ABC" w14:textId="2BE2C987" w:rsidR="003D4C26" w:rsidRDefault="003D4C26" w:rsidP="000911AD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 xml:space="preserve">     </w:t>
            </w:r>
            <w:r w:rsidR="005E3812">
              <w:rPr>
                <w:sz w:val="24"/>
                <w:szCs w:val="24"/>
                <w:lang w:eastAsia="fr-BE"/>
              </w:rPr>
              <w:t>3</w:t>
            </w:r>
            <w:r>
              <w:rPr>
                <w:sz w:val="24"/>
                <w:szCs w:val="24"/>
                <w:lang w:eastAsia="fr-BE"/>
              </w:rPr>
              <w:t xml:space="preserve">° avec X. </w:t>
            </w:r>
            <w:r w:rsidRPr="003D4C26">
              <w:rPr>
                <w:smallCaps/>
                <w:sz w:val="24"/>
                <w:szCs w:val="24"/>
                <w:lang w:eastAsia="fr-BE"/>
              </w:rPr>
              <w:t>Delgrange</w:t>
            </w:r>
            <w:r w:rsidR="00A4650B">
              <w:rPr>
                <w:sz w:val="24"/>
                <w:szCs w:val="24"/>
                <w:lang w:eastAsia="fr-BE"/>
              </w:rPr>
              <w:t>, « </w:t>
            </w:r>
            <w:r>
              <w:rPr>
                <w:sz w:val="24"/>
                <w:szCs w:val="24"/>
                <w:lang w:eastAsia="fr-BE"/>
              </w:rPr>
              <w:t>La liberté en matière de politique du personnel f</w:t>
            </w:r>
            <w:r w:rsidR="004877C6">
              <w:rPr>
                <w:sz w:val="24"/>
                <w:szCs w:val="24"/>
                <w:lang w:eastAsia="fr-BE"/>
              </w:rPr>
              <w:t>ace à l’égalité de traitement »</w:t>
            </w:r>
            <w:r w:rsidR="0041120C">
              <w:rPr>
                <w:sz w:val="24"/>
                <w:szCs w:val="24"/>
                <w:lang w:eastAsia="fr-BE"/>
              </w:rPr>
              <w:t>, p. 59 à 77</w:t>
            </w:r>
            <w:r w:rsidR="004877C6">
              <w:rPr>
                <w:sz w:val="24"/>
                <w:szCs w:val="24"/>
                <w:lang w:eastAsia="fr-BE"/>
              </w:rPr>
              <w:t xml:space="preserve"> </w:t>
            </w:r>
            <w:r>
              <w:rPr>
                <w:sz w:val="24"/>
                <w:szCs w:val="24"/>
                <w:lang w:eastAsia="fr-BE"/>
              </w:rPr>
              <w:t>;</w:t>
            </w:r>
          </w:p>
          <w:p w14:paraId="0326FE21" w14:textId="25B35792" w:rsidR="00E41792" w:rsidRDefault="00E41792" w:rsidP="000911AD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 xml:space="preserve">     4° avec X. </w:t>
            </w:r>
            <w:r w:rsidRPr="00E41792">
              <w:rPr>
                <w:smallCaps/>
                <w:sz w:val="24"/>
                <w:szCs w:val="24"/>
                <w:lang w:eastAsia="fr-BE"/>
              </w:rPr>
              <w:t>Delgrange</w:t>
            </w:r>
            <w:r w:rsidR="00A4650B">
              <w:rPr>
                <w:sz w:val="24"/>
                <w:szCs w:val="24"/>
                <w:lang w:eastAsia="fr-BE"/>
              </w:rPr>
              <w:t>, « </w:t>
            </w:r>
            <w:r>
              <w:rPr>
                <w:sz w:val="24"/>
                <w:szCs w:val="24"/>
                <w:lang w:eastAsia="fr-BE"/>
              </w:rPr>
              <w:t>Le droit de tendance des pouvoirs organisateurs »</w:t>
            </w:r>
            <w:r w:rsidR="0041120C">
              <w:rPr>
                <w:sz w:val="24"/>
                <w:szCs w:val="24"/>
                <w:lang w:eastAsia="fr-BE"/>
              </w:rPr>
              <w:t>, p. 78 à 97</w:t>
            </w:r>
            <w:r>
              <w:rPr>
                <w:sz w:val="24"/>
                <w:szCs w:val="24"/>
                <w:lang w:eastAsia="fr-BE"/>
              </w:rPr>
              <w:t xml:space="preserve"> ; </w:t>
            </w:r>
          </w:p>
          <w:p w14:paraId="599AF0DA" w14:textId="59C811CF" w:rsidR="003D4C26" w:rsidRDefault="005A059A" w:rsidP="000911AD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 xml:space="preserve">     </w:t>
            </w:r>
            <w:r w:rsidR="00E41792">
              <w:rPr>
                <w:sz w:val="24"/>
                <w:szCs w:val="24"/>
                <w:lang w:eastAsia="fr-BE"/>
              </w:rPr>
              <w:t>5</w:t>
            </w:r>
            <w:r w:rsidR="003D4C26">
              <w:rPr>
                <w:sz w:val="24"/>
                <w:szCs w:val="24"/>
                <w:lang w:eastAsia="fr-BE"/>
              </w:rPr>
              <w:t xml:space="preserve">° avec X. </w:t>
            </w:r>
            <w:r w:rsidR="003D4C26" w:rsidRPr="003D4C26">
              <w:rPr>
                <w:smallCaps/>
                <w:sz w:val="24"/>
                <w:szCs w:val="24"/>
                <w:lang w:eastAsia="fr-BE"/>
              </w:rPr>
              <w:t>Delgrange</w:t>
            </w:r>
            <w:r w:rsidR="003D4C26">
              <w:rPr>
                <w:sz w:val="24"/>
                <w:szCs w:val="24"/>
                <w:lang w:eastAsia="fr-BE"/>
              </w:rPr>
              <w:t xml:space="preserve"> et S. </w:t>
            </w:r>
            <w:r w:rsidR="003D4C26" w:rsidRPr="003D4C26">
              <w:rPr>
                <w:smallCaps/>
                <w:sz w:val="24"/>
                <w:szCs w:val="24"/>
                <w:lang w:eastAsia="fr-BE"/>
              </w:rPr>
              <w:t>van Drooghenbroeck</w:t>
            </w:r>
            <w:r w:rsidR="00A4650B">
              <w:rPr>
                <w:sz w:val="24"/>
                <w:szCs w:val="24"/>
                <w:lang w:eastAsia="fr-BE"/>
              </w:rPr>
              <w:t>, «</w:t>
            </w:r>
            <w:r w:rsidR="003D4C26">
              <w:rPr>
                <w:sz w:val="24"/>
                <w:szCs w:val="24"/>
                <w:lang w:eastAsia="fr-BE"/>
              </w:rPr>
              <w:t xml:space="preserve"> L’obligation scolaire </w:t>
            </w:r>
            <w:r w:rsidR="004877C6">
              <w:rPr>
                <w:sz w:val="24"/>
                <w:szCs w:val="24"/>
                <w:lang w:eastAsia="fr-BE"/>
              </w:rPr>
              <w:t>»</w:t>
            </w:r>
            <w:r w:rsidR="0041120C">
              <w:rPr>
                <w:sz w:val="24"/>
                <w:szCs w:val="24"/>
                <w:lang w:eastAsia="fr-BE"/>
              </w:rPr>
              <w:t>, p. 303 à 330</w:t>
            </w:r>
            <w:r w:rsidR="003D4C26">
              <w:rPr>
                <w:sz w:val="24"/>
                <w:szCs w:val="24"/>
                <w:lang w:eastAsia="fr-BE"/>
              </w:rPr>
              <w:t> ;</w:t>
            </w:r>
          </w:p>
          <w:p w14:paraId="4ED07AA7" w14:textId="2BA2A8AC" w:rsidR="0036106A" w:rsidRPr="00CF100F" w:rsidRDefault="003D4C26" w:rsidP="000911AD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 xml:space="preserve">     </w:t>
            </w:r>
            <w:r w:rsidR="00E41792">
              <w:rPr>
                <w:sz w:val="24"/>
                <w:szCs w:val="24"/>
                <w:lang w:eastAsia="fr-BE"/>
              </w:rPr>
              <w:t>6</w:t>
            </w:r>
            <w:r>
              <w:rPr>
                <w:sz w:val="24"/>
                <w:szCs w:val="24"/>
                <w:lang w:eastAsia="fr-BE"/>
              </w:rPr>
              <w:t>° « Le droit au subventionnement et l’égali</w:t>
            </w:r>
            <w:r w:rsidR="004877C6">
              <w:rPr>
                <w:sz w:val="24"/>
                <w:szCs w:val="24"/>
                <w:lang w:eastAsia="fr-BE"/>
              </w:rPr>
              <w:t>té en matière de financement »</w:t>
            </w:r>
            <w:r w:rsidR="0041120C">
              <w:rPr>
                <w:sz w:val="24"/>
                <w:szCs w:val="24"/>
                <w:lang w:eastAsia="fr-BE"/>
              </w:rPr>
              <w:t>, p. 619 à 633</w:t>
            </w:r>
            <w:r w:rsidR="00CF100F">
              <w:rPr>
                <w:sz w:val="24"/>
                <w:szCs w:val="24"/>
                <w:lang w:eastAsia="fr-BE"/>
              </w:rPr>
              <w:t>.</w:t>
            </w:r>
          </w:p>
          <w:p w14:paraId="61F3910A" w14:textId="77777777" w:rsidR="003D4C26" w:rsidRDefault="003D4C26" w:rsidP="000911AD">
            <w:pPr>
              <w:rPr>
                <w:sz w:val="24"/>
                <w:szCs w:val="24"/>
                <w:lang w:eastAsia="fr-BE"/>
              </w:rPr>
            </w:pPr>
          </w:p>
          <w:p w14:paraId="228432B5" w14:textId="6B2F296B" w:rsidR="004803BC" w:rsidRDefault="004803BC" w:rsidP="004803BC">
            <w:pPr>
              <w:rPr>
                <w:rFonts w:cs="Helvetica"/>
                <w:sz w:val="24"/>
                <w:szCs w:val="24"/>
                <w:lang w:val="en-GB" w:eastAsia="fr-FR"/>
              </w:rPr>
            </w:pPr>
            <w:r w:rsidRPr="00D1685C">
              <w:rPr>
                <w:sz w:val="24"/>
                <w:szCs w:val="24"/>
                <w:lang w:val="en-GB" w:eastAsia="fr-BE"/>
              </w:rPr>
              <w:t>1</w:t>
            </w:r>
            <w:r>
              <w:rPr>
                <w:sz w:val="24"/>
                <w:szCs w:val="24"/>
                <w:lang w:val="en-GB" w:eastAsia="fr-BE"/>
              </w:rPr>
              <w:t>0</w:t>
            </w:r>
            <w:r w:rsidRPr="00D1685C">
              <w:rPr>
                <w:sz w:val="24"/>
                <w:szCs w:val="24"/>
                <w:lang w:val="en-GB" w:eastAsia="fr-BE"/>
              </w:rPr>
              <w:t>. « </w:t>
            </w:r>
            <w:r>
              <w:rPr>
                <w:sz w:val="24"/>
                <w:szCs w:val="24"/>
                <w:lang w:val="en-GB" w:eastAsia="fr-BE"/>
              </w:rPr>
              <w:t>Wallonia</w:t>
            </w:r>
            <w:r w:rsidRPr="00D1685C">
              <w:rPr>
                <w:sz w:val="24"/>
                <w:szCs w:val="24"/>
                <w:lang w:val="en-GB" w:eastAsia="fr-BE"/>
              </w:rPr>
              <w:t xml:space="preserve"> », D. </w:t>
            </w:r>
            <w:r w:rsidRPr="00D1685C">
              <w:rPr>
                <w:smallCaps/>
                <w:sz w:val="24"/>
                <w:szCs w:val="24"/>
                <w:lang w:val="en-GB" w:eastAsia="fr-BE"/>
              </w:rPr>
              <w:t xml:space="preserve">Turp </w:t>
            </w:r>
            <w:r w:rsidRPr="00D1685C">
              <w:rPr>
                <w:sz w:val="24"/>
                <w:szCs w:val="24"/>
                <w:lang w:val="en-GB" w:eastAsia="fr-BE"/>
              </w:rPr>
              <w:t xml:space="preserve">et </w:t>
            </w:r>
            <w:r w:rsidRPr="00D1685C">
              <w:rPr>
                <w:smallCaps/>
                <w:sz w:val="24"/>
                <w:szCs w:val="24"/>
                <w:lang w:val="en-GB" w:eastAsia="fr-BE"/>
              </w:rPr>
              <w:t>M. Sanjaume</w:t>
            </w:r>
            <w:r w:rsidRPr="00D1685C">
              <w:rPr>
                <w:sz w:val="24"/>
                <w:szCs w:val="24"/>
                <w:lang w:val="en-GB" w:eastAsia="fr-BE"/>
              </w:rPr>
              <w:t xml:space="preserve"> (</w:t>
            </w:r>
            <w:r w:rsidR="00A86B21">
              <w:rPr>
                <w:sz w:val="24"/>
                <w:szCs w:val="24"/>
                <w:lang w:val="en-GB" w:eastAsia="fr-BE"/>
              </w:rPr>
              <w:t>coord</w:t>
            </w:r>
            <w:r w:rsidRPr="00D1685C">
              <w:rPr>
                <w:sz w:val="24"/>
                <w:szCs w:val="24"/>
                <w:lang w:val="en-GB" w:eastAsia="fr-BE"/>
              </w:rPr>
              <w:t xml:space="preserve">.), </w:t>
            </w:r>
            <w:r w:rsidRPr="00D1685C">
              <w:rPr>
                <w:rFonts w:cs="Helvetica"/>
                <w:i/>
                <w:sz w:val="24"/>
                <w:szCs w:val="24"/>
                <w:lang w:val="en-GB" w:eastAsia="fr-FR"/>
              </w:rPr>
              <w:t>The Emergence of a Democratic Right to Self-Determination in Europe</w:t>
            </w:r>
            <w:r w:rsidRPr="00D1685C">
              <w:rPr>
                <w:rFonts w:cs="Helvetica"/>
                <w:sz w:val="24"/>
                <w:szCs w:val="24"/>
                <w:lang w:val="en-GB" w:eastAsia="fr-FR"/>
              </w:rPr>
              <w:t>, Bruxelles, Centre Maurits Coppieters (CMC) – Ideas for Europe, 201</w:t>
            </w:r>
            <w:r>
              <w:rPr>
                <w:rFonts w:cs="Helvetica"/>
                <w:sz w:val="24"/>
                <w:szCs w:val="24"/>
                <w:lang w:val="en-GB" w:eastAsia="fr-FR"/>
              </w:rPr>
              <w:t>6</w:t>
            </w:r>
            <w:r w:rsidRPr="00D1685C">
              <w:rPr>
                <w:rFonts w:cs="Helvetica"/>
                <w:sz w:val="24"/>
                <w:szCs w:val="24"/>
                <w:lang w:val="en-GB" w:eastAsia="fr-FR"/>
              </w:rPr>
              <w:t xml:space="preserve">, p. </w:t>
            </w:r>
            <w:r>
              <w:rPr>
                <w:rFonts w:cs="Helvetica"/>
                <w:sz w:val="24"/>
                <w:szCs w:val="24"/>
                <w:lang w:val="en-GB" w:eastAsia="fr-FR"/>
              </w:rPr>
              <w:t xml:space="preserve">254 </w:t>
            </w:r>
            <w:r w:rsidRPr="00D1685C">
              <w:rPr>
                <w:rFonts w:cs="Helvetica"/>
                <w:sz w:val="24"/>
                <w:szCs w:val="24"/>
                <w:lang w:val="en-GB" w:eastAsia="fr-FR"/>
              </w:rPr>
              <w:t>à 262.</w:t>
            </w:r>
          </w:p>
          <w:p w14:paraId="449A0360" w14:textId="77777777" w:rsidR="004803BC" w:rsidRPr="00D1685C" w:rsidRDefault="004803BC" w:rsidP="004803BC">
            <w:pPr>
              <w:rPr>
                <w:rFonts w:cs="Helvetica"/>
                <w:sz w:val="24"/>
                <w:szCs w:val="24"/>
                <w:lang w:val="en-GB" w:eastAsia="fr-FR"/>
              </w:rPr>
            </w:pPr>
          </w:p>
          <w:p w14:paraId="115D784A" w14:textId="04D97D37" w:rsidR="00254898" w:rsidRDefault="00254898" w:rsidP="00254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BE"/>
              </w:rPr>
              <w:t xml:space="preserve">9. avec </w:t>
            </w:r>
            <w:r>
              <w:rPr>
                <w:smallCaps/>
                <w:sz w:val="24"/>
                <w:szCs w:val="24"/>
                <w:lang w:eastAsia="fr-BE"/>
              </w:rPr>
              <w:t>X. Delgrange</w:t>
            </w:r>
            <w:r>
              <w:rPr>
                <w:sz w:val="24"/>
                <w:szCs w:val="24"/>
                <w:lang w:eastAsia="fr-BE"/>
              </w:rPr>
              <w:t xml:space="preserve">, « Le découpage des compétences régionales et communautaires à Bruxelles ou la tentation de la transgression », </w:t>
            </w:r>
            <w:r>
              <w:rPr>
                <w:smallCaps/>
                <w:sz w:val="24"/>
                <w:szCs w:val="24"/>
              </w:rPr>
              <w:t>P.-</w:t>
            </w:r>
            <w:r w:rsidR="00D30D26">
              <w:rPr>
                <w:smallCaps/>
                <w:sz w:val="24"/>
                <w:szCs w:val="24"/>
              </w:rPr>
              <w:t>O</w:t>
            </w:r>
            <w:r>
              <w:rPr>
                <w:smallCaps/>
                <w:sz w:val="24"/>
                <w:szCs w:val="24"/>
              </w:rPr>
              <w:t xml:space="preserve">. de Broux, B. Lombaert </w:t>
            </w:r>
            <w:r>
              <w:rPr>
                <w:sz w:val="24"/>
                <w:szCs w:val="24"/>
              </w:rPr>
              <w:t xml:space="preserve">et </w:t>
            </w:r>
            <w:r>
              <w:rPr>
                <w:smallCaps/>
                <w:sz w:val="24"/>
                <w:szCs w:val="24"/>
              </w:rPr>
              <w:t>D. Yernault</w:t>
            </w:r>
            <w:r>
              <w:rPr>
                <w:sz w:val="24"/>
                <w:szCs w:val="24"/>
              </w:rPr>
              <w:t xml:space="preserve"> (dir.), </w:t>
            </w:r>
            <w:r w:rsidR="00D72FA0">
              <w:rPr>
                <w:i/>
                <w:sz w:val="24"/>
                <w:szCs w:val="24"/>
              </w:rPr>
              <w:t>Le</w:t>
            </w:r>
            <w:r w:rsidRPr="00436DD5">
              <w:rPr>
                <w:i/>
                <w:sz w:val="24"/>
                <w:szCs w:val="24"/>
              </w:rPr>
              <w:t xml:space="preserve"> droit </w:t>
            </w:r>
            <w:r w:rsidR="00D72FA0">
              <w:rPr>
                <w:i/>
                <w:sz w:val="24"/>
                <w:szCs w:val="24"/>
              </w:rPr>
              <w:t>bruxellois, Un b</w:t>
            </w:r>
            <w:r w:rsidRPr="00436DD5">
              <w:rPr>
                <w:i/>
                <w:sz w:val="24"/>
                <w:szCs w:val="24"/>
              </w:rPr>
              <w:t>ilan</w:t>
            </w:r>
            <w:r w:rsidR="00D72FA0">
              <w:rPr>
                <w:i/>
                <w:sz w:val="24"/>
                <w:szCs w:val="24"/>
              </w:rPr>
              <w:t xml:space="preserve"> après 25 ans d’application (1989-2014)</w:t>
            </w:r>
            <w:r>
              <w:rPr>
                <w:sz w:val="24"/>
                <w:szCs w:val="24"/>
              </w:rPr>
              <w:t>, Bruxelles, Larcier, 2015, p. 67 à 98.</w:t>
            </w:r>
          </w:p>
          <w:p w14:paraId="49DC67D4" w14:textId="77777777" w:rsidR="00254898" w:rsidRDefault="00254898" w:rsidP="002548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7880BA8" w14:textId="72312227" w:rsidR="000911AD" w:rsidRDefault="00254898" w:rsidP="0009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fr-BE"/>
              </w:rPr>
              <w:t>8</w:t>
            </w:r>
            <w:r w:rsidR="000911AD">
              <w:rPr>
                <w:sz w:val="24"/>
                <w:szCs w:val="24"/>
                <w:lang w:eastAsia="fr-BE"/>
              </w:rPr>
              <w:t>. a</w:t>
            </w:r>
            <w:r w:rsidR="000911AD" w:rsidRPr="00C62CD4">
              <w:rPr>
                <w:sz w:val="24"/>
                <w:szCs w:val="24"/>
                <w:lang w:eastAsia="fr-BE"/>
              </w:rPr>
              <w:t xml:space="preserve">vec </w:t>
            </w:r>
            <w:r w:rsidR="000911AD">
              <w:rPr>
                <w:sz w:val="24"/>
                <w:szCs w:val="24"/>
                <w:lang w:eastAsia="fr-BE"/>
              </w:rPr>
              <w:t xml:space="preserve">B. </w:t>
            </w:r>
            <w:r w:rsidR="000911AD">
              <w:rPr>
                <w:smallCaps/>
                <w:sz w:val="24"/>
                <w:szCs w:val="24"/>
                <w:lang w:eastAsia="fr-BE"/>
              </w:rPr>
              <w:t xml:space="preserve">Vanleemputten </w:t>
            </w:r>
            <w:r w:rsidR="000911AD">
              <w:rPr>
                <w:sz w:val="24"/>
                <w:szCs w:val="24"/>
                <w:lang w:eastAsia="fr-BE"/>
              </w:rPr>
              <w:t xml:space="preserve">et </w:t>
            </w:r>
            <w:r w:rsidR="000911AD">
              <w:rPr>
                <w:smallCaps/>
                <w:sz w:val="24"/>
                <w:szCs w:val="24"/>
                <w:lang w:eastAsia="fr-BE"/>
              </w:rPr>
              <w:t>N. Bonbled</w:t>
            </w:r>
            <w:r w:rsidR="000911AD">
              <w:rPr>
                <w:sz w:val="24"/>
                <w:szCs w:val="24"/>
                <w:lang w:eastAsia="fr-BE"/>
              </w:rPr>
              <w:t xml:space="preserve">, </w:t>
            </w:r>
            <w:r w:rsidR="000911AD" w:rsidRPr="00C62CD4">
              <w:rPr>
                <w:sz w:val="24"/>
                <w:szCs w:val="24"/>
                <w:lang w:eastAsia="fr-BE"/>
              </w:rPr>
              <w:t>« </w:t>
            </w:r>
            <w:r w:rsidR="000911AD" w:rsidRPr="00C62CD4">
              <w:rPr>
                <w:sz w:val="24"/>
                <w:szCs w:val="24"/>
              </w:rPr>
              <w:t xml:space="preserve">Le droit des politiques sociales et de santé de la Commission communautaire française », </w:t>
            </w:r>
            <w:r w:rsidR="000911AD">
              <w:rPr>
                <w:smallCaps/>
                <w:sz w:val="24"/>
                <w:szCs w:val="24"/>
              </w:rPr>
              <w:t>P.-</w:t>
            </w:r>
            <w:r w:rsidR="002A02BF">
              <w:rPr>
                <w:smallCaps/>
                <w:sz w:val="24"/>
                <w:szCs w:val="24"/>
              </w:rPr>
              <w:t>O</w:t>
            </w:r>
            <w:r w:rsidR="000911AD">
              <w:rPr>
                <w:smallCaps/>
                <w:sz w:val="24"/>
                <w:szCs w:val="24"/>
              </w:rPr>
              <w:t xml:space="preserve">. de Broux, B. Lombaert </w:t>
            </w:r>
            <w:r w:rsidR="000911AD">
              <w:rPr>
                <w:sz w:val="24"/>
                <w:szCs w:val="24"/>
              </w:rPr>
              <w:t xml:space="preserve">et </w:t>
            </w:r>
            <w:r w:rsidR="000911AD">
              <w:rPr>
                <w:smallCaps/>
                <w:sz w:val="24"/>
                <w:szCs w:val="24"/>
              </w:rPr>
              <w:t>D. Yernault</w:t>
            </w:r>
            <w:r w:rsidR="000911AD">
              <w:rPr>
                <w:sz w:val="24"/>
                <w:szCs w:val="24"/>
              </w:rPr>
              <w:t xml:space="preserve"> (dir.), </w:t>
            </w:r>
            <w:r w:rsidR="00D72FA0">
              <w:rPr>
                <w:i/>
                <w:sz w:val="24"/>
                <w:szCs w:val="24"/>
              </w:rPr>
              <w:t>Le</w:t>
            </w:r>
            <w:r w:rsidR="00D72FA0" w:rsidRPr="00436DD5">
              <w:rPr>
                <w:i/>
                <w:sz w:val="24"/>
                <w:szCs w:val="24"/>
              </w:rPr>
              <w:t xml:space="preserve"> droit </w:t>
            </w:r>
            <w:r w:rsidR="00D72FA0">
              <w:rPr>
                <w:i/>
                <w:sz w:val="24"/>
                <w:szCs w:val="24"/>
              </w:rPr>
              <w:t>bruxellois, Un b</w:t>
            </w:r>
            <w:r w:rsidR="00D72FA0" w:rsidRPr="00436DD5">
              <w:rPr>
                <w:i/>
                <w:sz w:val="24"/>
                <w:szCs w:val="24"/>
              </w:rPr>
              <w:t>ilan</w:t>
            </w:r>
            <w:r w:rsidR="00D72FA0">
              <w:rPr>
                <w:i/>
                <w:sz w:val="24"/>
                <w:szCs w:val="24"/>
              </w:rPr>
              <w:t xml:space="preserve"> après 25 ans d’application (1989-2014)</w:t>
            </w:r>
            <w:r w:rsidR="000911AD">
              <w:rPr>
                <w:sz w:val="24"/>
                <w:szCs w:val="24"/>
              </w:rPr>
              <w:t>, Bruxelles, Larcier, 2015,</w:t>
            </w:r>
            <w:r>
              <w:rPr>
                <w:sz w:val="24"/>
                <w:szCs w:val="24"/>
              </w:rPr>
              <w:t xml:space="preserve"> p. 149</w:t>
            </w:r>
            <w:r w:rsidR="00E178D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à 152</w:t>
            </w:r>
            <w:r w:rsidR="00E178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2933E521" w14:textId="77777777" w:rsidR="000911AD" w:rsidRDefault="000911AD" w:rsidP="000911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E9E633" w14:textId="77777777" w:rsidR="000911AD" w:rsidRPr="00766305" w:rsidRDefault="000911AD" w:rsidP="000911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6305">
              <w:rPr>
                <w:sz w:val="24"/>
                <w:szCs w:val="24"/>
              </w:rPr>
              <w:t xml:space="preserve">7. </w:t>
            </w:r>
            <w:r w:rsidR="00766305" w:rsidRPr="00766305">
              <w:rPr>
                <w:sz w:val="24"/>
                <w:szCs w:val="24"/>
              </w:rPr>
              <w:t xml:space="preserve">« La dualité école libre/école officielle. Quelles évolutions depuis 150 ans ? », </w:t>
            </w:r>
            <w:r w:rsidR="00766305" w:rsidRPr="00766305">
              <w:rPr>
                <w:smallCaps/>
                <w:sz w:val="24"/>
                <w:szCs w:val="24"/>
              </w:rPr>
              <w:t>Ch. Lemaire</w:t>
            </w:r>
            <w:r w:rsidR="00766305" w:rsidRPr="00766305">
              <w:rPr>
                <w:sz w:val="24"/>
                <w:szCs w:val="24"/>
              </w:rPr>
              <w:t xml:space="preserve"> (éd.), </w:t>
            </w:r>
            <w:r w:rsidR="00766305" w:rsidRPr="00766305">
              <w:rPr>
                <w:i/>
                <w:sz w:val="24"/>
                <w:szCs w:val="24"/>
              </w:rPr>
              <w:t>Les 150 ans de la Ligue de l’Enseignement et de l’Education permanente et les 55 ans du Pacte scolaire</w:t>
            </w:r>
            <w:r w:rsidR="00766305" w:rsidRPr="00766305">
              <w:rPr>
                <w:sz w:val="24"/>
                <w:szCs w:val="24"/>
              </w:rPr>
              <w:t>, Bruxelles, La pensée et les Hommes, 2015, p. 29 à 56.</w:t>
            </w:r>
          </w:p>
          <w:p w14:paraId="163109BF" w14:textId="77777777" w:rsidR="000911AD" w:rsidRPr="00C62CD4" w:rsidRDefault="000911AD" w:rsidP="000911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fr-BE"/>
              </w:rPr>
            </w:pPr>
          </w:p>
          <w:p w14:paraId="724FA858" w14:textId="77777777" w:rsidR="000911AD" w:rsidRPr="003B697F" w:rsidRDefault="000911AD" w:rsidP="000911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6. a</w:t>
            </w:r>
            <w:r w:rsidRPr="003B697F">
              <w:rPr>
                <w:sz w:val="24"/>
                <w:szCs w:val="24"/>
                <w:lang w:eastAsia="fr-BE"/>
              </w:rPr>
              <w:t xml:space="preserve">vec F. </w:t>
            </w:r>
            <w:r w:rsidRPr="003B697F">
              <w:rPr>
                <w:smallCaps/>
                <w:sz w:val="24"/>
                <w:szCs w:val="24"/>
                <w:lang w:eastAsia="fr-BE"/>
              </w:rPr>
              <w:t>Bell</w:t>
            </w:r>
            <w:r>
              <w:rPr>
                <w:smallCaps/>
                <w:sz w:val="24"/>
                <w:szCs w:val="24"/>
                <w:lang w:eastAsia="fr-BE"/>
              </w:rPr>
              <w:t>e</w:t>
            </w:r>
            <w:r w:rsidRPr="003B697F">
              <w:rPr>
                <w:smallCaps/>
                <w:sz w:val="24"/>
                <w:szCs w:val="24"/>
                <w:lang w:eastAsia="fr-BE"/>
              </w:rPr>
              <w:t>f</w:t>
            </w:r>
            <w:r>
              <w:rPr>
                <w:smallCaps/>
                <w:sz w:val="24"/>
                <w:szCs w:val="24"/>
                <w:lang w:eastAsia="fr-BE"/>
              </w:rPr>
              <w:t>l</w:t>
            </w:r>
            <w:r w:rsidRPr="003B697F">
              <w:rPr>
                <w:smallCaps/>
                <w:sz w:val="24"/>
                <w:szCs w:val="24"/>
                <w:lang w:eastAsia="fr-BE"/>
              </w:rPr>
              <w:t xml:space="preserve">amme </w:t>
            </w:r>
            <w:r w:rsidRPr="003B697F">
              <w:rPr>
                <w:sz w:val="24"/>
                <w:szCs w:val="24"/>
                <w:lang w:eastAsia="fr-BE"/>
              </w:rPr>
              <w:t xml:space="preserve">et </w:t>
            </w:r>
            <w:r w:rsidRPr="003B697F">
              <w:rPr>
                <w:smallCaps/>
                <w:sz w:val="24"/>
                <w:szCs w:val="24"/>
                <w:lang w:eastAsia="fr-BE"/>
              </w:rPr>
              <w:t>P.-O. de Broux</w:t>
            </w:r>
            <w:r w:rsidRPr="003B697F">
              <w:rPr>
                <w:sz w:val="24"/>
                <w:szCs w:val="24"/>
                <w:lang w:eastAsia="fr-BE"/>
              </w:rPr>
              <w:t>, « </w:t>
            </w:r>
            <w:r w:rsidRPr="003B697F">
              <w:rPr>
                <w:iCs/>
                <w:sz w:val="24"/>
                <w:szCs w:val="24"/>
                <w:lang w:eastAsia="fr-BE"/>
              </w:rPr>
              <w:t>I</w:t>
            </w:r>
            <w:r>
              <w:rPr>
                <w:iCs/>
                <w:sz w:val="24"/>
                <w:szCs w:val="24"/>
                <w:lang w:eastAsia="fr-BE"/>
              </w:rPr>
              <w:t>II. Les titulaires de droits. 2.</w:t>
            </w:r>
            <w:r w:rsidRPr="003B697F">
              <w:rPr>
                <w:iCs/>
                <w:sz w:val="24"/>
                <w:szCs w:val="24"/>
                <w:lang w:eastAsia="fr-BE"/>
              </w:rPr>
              <w:t xml:space="preserve"> Les personnes morales de droit privé et de droit public », </w:t>
            </w:r>
            <w:r w:rsidRPr="003B697F">
              <w:rPr>
                <w:sz w:val="24"/>
                <w:szCs w:val="24"/>
                <w:lang w:eastAsia="fr-BE"/>
              </w:rPr>
              <w:t xml:space="preserve">S. </w:t>
            </w:r>
            <w:r w:rsidR="002C7602">
              <w:rPr>
                <w:smallCaps/>
                <w:sz w:val="24"/>
                <w:szCs w:val="24"/>
                <w:lang w:eastAsia="fr-BE"/>
              </w:rPr>
              <w:t>van Droogh</w:t>
            </w:r>
            <w:r w:rsidRPr="003B697F">
              <w:rPr>
                <w:smallCaps/>
                <w:sz w:val="24"/>
                <w:szCs w:val="24"/>
                <w:lang w:eastAsia="fr-BE"/>
              </w:rPr>
              <w:t>enbroeck</w:t>
            </w:r>
            <w:r w:rsidRPr="003B697F">
              <w:rPr>
                <w:sz w:val="24"/>
                <w:szCs w:val="24"/>
                <w:lang w:eastAsia="fr-BE"/>
              </w:rPr>
              <w:t xml:space="preserve"> (dir.), </w:t>
            </w:r>
            <w:r w:rsidRPr="003B697F">
              <w:rPr>
                <w:i/>
                <w:iCs/>
                <w:sz w:val="24"/>
                <w:szCs w:val="24"/>
                <w:lang w:eastAsia="fr-BE"/>
              </w:rPr>
              <w:t>Le droit international et européen des droits de l’homme devant le juge national</w:t>
            </w:r>
            <w:r w:rsidRPr="003B697F">
              <w:rPr>
                <w:iCs/>
                <w:sz w:val="24"/>
                <w:szCs w:val="24"/>
                <w:lang w:eastAsia="fr-BE"/>
              </w:rPr>
              <w:t>, coll. L</w:t>
            </w:r>
            <w:r w:rsidRPr="003B697F">
              <w:rPr>
                <w:sz w:val="24"/>
                <w:szCs w:val="24"/>
                <w:lang w:eastAsia="fr-BE"/>
              </w:rPr>
              <w:t>es grands arrêts de la jurisprudence belge</w:t>
            </w:r>
            <w:r>
              <w:rPr>
                <w:sz w:val="24"/>
                <w:szCs w:val="24"/>
                <w:lang w:eastAsia="fr-BE"/>
              </w:rPr>
              <w:t>,</w:t>
            </w:r>
            <w:r w:rsidRPr="003B697F">
              <w:rPr>
                <w:iCs/>
                <w:sz w:val="24"/>
                <w:szCs w:val="24"/>
                <w:lang w:eastAsia="fr-BE"/>
              </w:rPr>
              <w:t xml:space="preserve"> </w:t>
            </w:r>
            <w:r>
              <w:rPr>
                <w:iCs/>
                <w:sz w:val="24"/>
                <w:szCs w:val="24"/>
                <w:lang w:eastAsia="fr-BE"/>
              </w:rPr>
              <w:lastRenderedPageBreak/>
              <w:t>Bruxelles, Larcier,</w:t>
            </w:r>
            <w:r w:rsidRPr="003B697F">
              <w:rPr>
                <w:sz w:val="24"/>
                <w:szCs w:val="24"/>
                <w:lang w:eastAsia="fr-BE"/>
              </w:rPr>
              <w:t xml:space="preserve"> </w:t>
            </w:r>
            <w:r>
              <w:rPr>
                <w:sz w:val="24"/>
                <w:szCs w:val="24"/>
                <w:lang w:eastAsia="fr-BE"/>
              </w:rPr>
              <w:t>2014, p</w:t>
            </w:r>
            <w:r w:rsidRPr="003B697F">
              <w:rPr>
                <w:sz w:val="24"/>
                <w:szCs w:val="24"/>
                <w:lang w:eastAsia="fr-BE"/>
              </w:rPr>
              <w:t>.</w:t>
            </w:r>
            <w:r>
              <w:rPr>
                <w:sz w:val="24"/>
                <w:szCs w:val="24"/>
                <w:lang w:eastAsia="fr-BE"/>
              </w:rPr>
              <w:t xml:space="preserve"> 60 à 72.</w:t>
            </w:r>
          </w:p>
          <w:p w14:paraId="74FA2E81" w14:textId="77777777" w:rsidR="000911AD" w:rsidRPr="003B697F" w:rsidRDefault="000911AD" w:rsidP="000911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fr-BE"/>
              </w:rPr>
            </w:pPr>
          </w:p>
          <w:p w14:paraId="3CD6F27D" w14:textId="77777777" w:rsidR="000911AD" w:rsidRPr="003B697F" w:rsidRDefault="000911AD" w:rsidP="000911A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 xml:space="preserve">5. </w:t>
            </w:r>
            <w:r w:rsidRPr="003B697F">
              <w:rPr>
                <w:sz w:val="24"/>
                <w:szCs w:val="24"/>
                <w:lang w:eastAsia="fr-BE"/>
              </w:rPr>
              <w:t>« </w:t>
            </w:r>
            <w:r w:rsidRPr="003B697F">
              <w:rPr>
                <w:iCs/>
                <w:sz w:val="24"/>
                <w:szCs w:val="24"/>
                <w:lang w:eastAsia="fr-BE"/>
              </w:rPr>
              <w:t>VIII</w:t>
            </w:r>
            <w:r>
              <w:rPr>
                <w:iCs/>
                <w:sz w:val="24"/>
                <w:szCs w:val="24"/>
                <w:lang w:eastAsia="fr-BE"/>
              </w:rPr>
              <w:t>. La primauté.</w:t>
            </w:r>
            <w:r w:rsidRPr="003B697F">
              <w:rPr>
                <w:iCs/>
                <w:sz w:val="24"/>
                <w:szCs w:val="24"/>
                <w:lang w:eastAsia="fr-BE"/>
              </w:rPr>
              <w:t xml:space="preserve"> </w:t>
            </w:r>
            <w:r>
              <w:rPr>
                <w:iCs/>
                <w:sz w:val="24"/>
                <w:szCs w:val="24"/>
                <w:lang w:eastAsia="fr-BE"/>
              </w:rPr>
              <w:t>3. L</w:t>
            </w:r>
            <w:r w:rsidRPr="003B697F">
              <w:rPr>
                <w:iCs/>
                <w:sz w:val="24"/>
                <w:szCs w:val="24"/>
                <w:lang w:eastAsia="fr-BE"/>
              </w:rPr>
              <w:t>a clause de faveur</w:t>
            </w:r>
            <w:r w:rsidRPr="003B697F">
              <w:rPr>
                <w:sz w:val="24"/>
                <w:szCs w:val="24"/>
                <w:lang w:eastAsia="fr-BE"/>
              </w:rPr>
              <w:t xml:space="preserve"> », S. </w:t>
            </w:r>
            <w:r w:rsidRPr="003B697F">
              <w:rPr>
                <w:smallCaps/>
                <w:sz w:val="24"/>
                <w:szCs w:val="24"/>
                <w:lang w:eastAsia="fr-BE"/>
              </w:rPr>
              <w:t>van Droo</w:t>
            </w:r>
            <w:r w:rsidR="002C7602">
              <w:rPr>
                <w:smallCaps/>
                <w:sz w:val="24"/>
                <w:szCs w:val="24"/>
                <w:lang w:eastAsia="fr-BE"/>
              </w:rPr>
              <w:t>gh</w:t>
            </w:r>
            <w:r w:rsidRPr="003B697F">
              <w:rPr>
                <w:smallCaps/>
                <w:sz w:val="24"/>
                <w:szCs w:val="24"/>
                <w:lang w:eastAsia="fr-BE"/>
              </w:rPr>
              <w:t>enbroeck</w:t>
            </w:r>
            <w:r w:rsidRPr="003B697F">
              <w:rPr>
                <w:sz w:val="24"/>
                <w:szCs w:val="24"/>
                <w:lang w:eastAsia="fr-BE"/>
              </w:rPr>
              <w:t xml:space="preserve"> (dir.), </w:t>
            </w:r>
            <w:r w:rsidRPr="003B697F">
              <w:rPr>
                <w:i/>
                <w:iCs/>
                <w:sz w:val="24"/>
                <w:szCs w:val="24"/>
                <w:lang w:eastAsia="fr-BE"/>
              </w:rPr>
              <w:t>Le droit international et européen des droits de l’homme devant le juge national</w:t>
            </w:r>
            <w:r w:rsidRPr="003B697F">
              <w:rPr>
                <w:iCs/>
                <w:sz w:val="24"/>
                <w:szCs w:val="24"/>
                <w:lang w:eastAsia="fr-BE"/>
              </w:rPr>
              <w:t>, coll. L</w:t>
            </w:r>
            <w:r w:rsidRPr="003B697F">
              <w:rPr>
                <w:sz w:val="24"/>
                <w:szCs w:val="24"/>
                <w:lang w:eastAsia="fr-BE"/>
              </w:rPr>
              <w:t>es grands arr</w:t>
            </w:r>
            <w:r>
              <w:rPr>
                <w:sz w:val="24"/>
                <w:szCs w:val="24"/>
                <w:lang w:eastAsia="fr-BE"/>
              </w:rPr>
              <w:t xml:space="preserve">êts de la jurisprudence belge, </w:t>
            </w:r>
            <w:r w:rsidRPr="003B697F">
              <w:rPr>
                <w:iCs/>
                <w:sz w:val="24"/>
                <w:szCs w:val="24"/>
                <w:lang w:eastAsia="fr-BE"/>
              </w:rPr>
              <w:t xml:space="preserve">Bruxelles, Larcier, </w:t>
            </w:r>
            <w:r>
              <w:rPr>
                <w:sz w:val="24"/>
                <w:szCs w:val="24"/>
                <w:lang w:eastAsia="fr-BE"/>
              </w:rPr>
              <w:t>2014, p</w:t>
            </w:r>
            <w:r w:rsidRPr="003B697F">
              <w:rPr>
                <w:sz w:val="24"/>
                <w:szCs w:val="24"/>
                <w:lang w:eastAsia="fr-BE"/>
              </w:rPr>
              <w:t>.</w:t>
            </w:r>
            <w:r>
              <w:rPr>
                <w:sz w:val="24"/>
                <w:szCs w:val="24"/>
                <w:lang w:eastAsia="fr-BE"/>
              </w:rPr>
              <w:t xml:space="preserve"> 299 à 309.</w:t>
            </w:r>
          </w:p>
          <w:p w14:paraId="1D218758" w14:textId="77777777" w:rsidR="000911AD" w:rsidRPr="003B697F" w:rsidRDefault="000911AD" w:rsidP="000911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B697F">
              <w:rPr>
                <w:sz w:val="24"/>
                <w:szCs w:val="24"/>
              </w:rPr>
              <w:t xml:space="preserve"> </w:t>
            </w:r>
          </w:p>
          <w:p w14:paraId="2A51FDF5" w14:textId="77777777" w:rsidR="000911AD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« La neutralité de l’école officielle : histoire, contenu juridique et évolution », </w:t>
            </w:r>
            <w:r>
              <w:t xml:space="preserve">D. </w:t>
            </w:r>
            <w:r w:rsidRPr="00EF4DF0">
              <w:rPr>
                <w:smallCaps/>
              </w:rPr>
              <w:t>Cabiaux</w:t>
            </w:r>
            <w:r>
              <w:t xml:space="preserve">, F. </w:t>
            </w:r>
            <w:r w:rsidRPr="00EF4DF0">
              <w:rPr>
                <w:smallCaps/>
              </w:rPr>
              <w:t>Wibrin</w:t>
            </w:r>
            <w:r>
              <w:t xml:space="preserve">, L. </w:t>
            </w:r>
            <w:r w:rsidRPr="00EF4DF0">
              <w:rPr>
                <w:smallCaps/>
              </w:rPr>
              <w:t>Abedinaj</w:t>
            </w:r>
            <w:r>
              <w:t xml:space="preserve"> et L. </w:t>
            </w:r>
            <w:r w:rsidRPr="00EF4DF0">
              <w:rPr>
                <w:smallCaps/>
              </w:rPr>
              <w:t>Blésin</w:t>
            </w:r>
            <w:r>
              <w:t xml:space="preserve"> (coord.), </w:t>
            </w:r>
            <w:r>
              <w:rPr>
                <w:i/>
                <w:sz w:val="24"/>
                <w:szCs w:val="24"/>
              </w:rPr>
              <w:t>Neutralité et faits religieux : quelles interactions dans les services publics ?</w:t>
            </w:r>
            <w:r>
              <w:rPr>
                <w:sz w:val="24"/>
                <w:szCs w:val="24"/>
              </w:rPr>
              <w:t xml:space="preserve">, coll. Islam en changement, Louvain-la-Neuve, Academia L’Harmattan, 2014, p. 109 à 122. </w:t>
            </w:r>
          </w:p>
          <w:p w14:paraId="26886251" w14:textId="77777777" w:rsidR="000911AD" w:rsidRPr="003721B7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  <w:r w:rsidRPr="003721B7">
              <w:rPr>
                <w:sz w:val="24"/>
                <w:szCs w:val="24"/>
              </w:rPr>
              <w:t xml:space="preserve">vec X. </w:t>
            </w:r>
            <w:r w:rsidRPr="003721B7">
              <w:rPr>
                <w:smallCaps/>
                <w:sz w:val="24"/>
                <w:szCs w:val="24"/>
              </w:rPr>
              <w:t>Delgrange</w:t>
            </w:r>
            <w:r w:rsidR="00E739F1">
              <w:rPr>
                <w:smallCaps/>
                <w:sz w:val="24"/>
                <w:szCs w:val="24"/>
              </w:rPr>
              <w:t xml:space="preserve"> </w:t>
            </w:r>
            <w:r w:rsidR="00E739F1">
              <w:rPr>
                <w:sz w:val="24"/>
                <w:szCs w:val="24"/>
              </w:rPr>
              <w:t xml:space="preserve">et </w:t>
            </w:r>
            <w:r w:rsidR="00E739F1">
              <w:rPr>
                <w:smallCaps/>
                <w:sz w:val="24"/>
                <w:szCs w:val="24"/>
              </w:rPr>
              <w:t>L. Detroux</w:t>
            </w:r>
            <w:r w:rsidRPr="003721B7">
              <w:rPr>
                <w:smallCap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 La</w:t>
            </w:r>
            <w:r w:rsidRPr="00372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3721B7">
              <w:rPr>
                <w:sz w:val="24"/>
                <w:szCs w:val="24"/>
              </w:rPr>
              <w:t>ommunauté française ne peut pas accueillir tous les étudiants d'</w:t>
            </w:r>
            <w:r>
              <w:rPr>
                <w:sz w:val="24"/>
                <w:szCs w:val="24"/>
              </w:rPr>
              <w:t>E</w:t>
            </w:r>
            <w:r w:rsidRPr="003721B7">
              <w:rPr>
                <w:sz w:val="24"/>
                <w:szCs w:val="24"/>
              </w:rPr>
              <w:t>urope, mais elle doit en prendre fidèlement plus que sa part</w:t>
            </w:r>
            <w:r>
              <w:rPr>
                <w:sz w:val="24"/>
                <w:szCs w:val="24"/>
              </w:rPr>
              <w:t xml:space="preserve"> », </w:t>
            </w:r>
            <w:r>
              <w:rPr>
                <w:smallCaps/>
                <w:sz w:val="24"/>
                <w:szCs w:val="24"/>
              </w:rPr>
              <w:t>B. Biemar (</w:t>
            </w:r>
            <w:r>
              <w:rPr>
                <w:sz w:val="24"/>
                <w:szCs w:val="24"/>
              </w:rPr>
              <w:t>dir.),</w:t>
            </w:r>
            <w:r>
              <w:rPr>
                <w:smallCaps/>
                <w:sz w:val="24"/>
                <w:szCs w:val="24"/>
              </w:rPr>
              <w:t xml:space="preserve"> </w:t>
            </w:r>
            <w:r w:rsidRPr="003721B7">
              <w:rPr>
                <w:i/>
                <w:sz w:val="24"/>
                <w:szCs w:val="24"/>
              </w:rPr>
              <w:t>L’enseignement et le droit</w:t>
            </w:r>
            <w:r>
              <w:rPr>
                <w:sz w:val="24"/>
                <w:szCs w:val="24"/>
              </w:rPr>
              <w:t>, Limal, Anthemis, 2013, p. 39 à 68.</w:t>
            </w:r>
          </w:p>
          <w:p w14:paraId="59308DBF" w14:textId="207166A1" w:rsidR="000911AD" w:rsidRPr="004D00AD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 Les juridictions suprêmes contre le voile : commentaire de deux arrêts engagés », J. </w:t>
            </w:r>
            <w:r w:rsidRPr="004D00AD">
              <w:rPr>
                <w:smallCaps/>
                <w:sz w:val="24"/>
                <w:szCs w:val="24"/>
              </w:rPr>
              <w:t>Ringelheim</w:t>
            </w:r>
            <w:r>
              <w:rPr>
                <w:smallCaps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dir.)</w:t>
            </w:r>
            <w:r>
              <w:rPr>
                <w:smallCaps/>
                <w:sz w:val="24"/>
                <w:szCs w:val="24"/>
              </w:rPr>
              <w:t xml:space="preserve">, </w:t>
            </w:r>
            <w:r w:rsidRPr="004D00AD">
              <w:rPr>
                <w:i/>
                <w:sz w:val="24"/>
                <w:szCs w:val="24"/>
              </w:rPr>
              <w:t>Le</w:t>
            </w:r>
            <w:r>
              <w:rPr>
                <w:i/>
                <w:sz w:val="24"/>
                <w:szCs w:val="24"/>
              </w:rPr>
              <w:t xml:space="preserve"> droit </w:t>
            </w:r>
            <w:r w:rsidR="00E6157C">
              <w:rPr>
                <w:i/>
                <w:sz w:val="24"/>
                <w:szCs w:val="24"/>
              </w:rPr>
              <w:t>et la diversité culturelle</w:t>
            </w:r>
            <w:r>
              <w:rPr>
                <w:sz w:val="24"/>
                <w:szCs w:val="24"/>
              </w:rPr>
              <w:t xml:space="preserve">, Bruxelles, Bruylant, 2011, p. 569 à 620. </w:t>
            </w:r>
          </w:p>
          <w:p w14:paraId="36BACDCD" w14:textId="77777777" w:rsidR="000902A2" w:rsidRDefault="000911AD" w:rsidP="000911AD">
            <w:pPr>
              <w:pStyle w:val="Corpsdetext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a</w:t>
            </w:r>
            <w:r w:rsidRPr="00E14273">
              <w:rPr>
                <w:sz w:val="24"/>
                <w:szCs w:val="24"/>
              </w:rPr>
              <w:t xml:space="preserve">vec </w:t>
            </w:r>
            <w:r w:rsidRPr="00E14273">
              <w:rPr>
                <w:smallCaps/>
                <w:sz w:val="24"/>
                <w:szCs w:val="24"/>
              </w:rPr>
              <w:t>X. Delgrange</w:t>
            </w:r>
            <w:r w:rsidRPr="00E14273">
              <w:rPr>
                <w:sz w:val="24"/>
                <w:szCs w:val="24"/>
              </w:rPr>
              <w:t>, « Les droits en matière d’enseignement »,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mallCaps/>
                <w:sz w:val="24"/>
                <w:szCs w:val="24"/>
              </w:rPr>
              <w:t xml:space="preserve">M. Verdussen </w:t>
            </w:r>
            <w:r>
              <w:rPr>
                <w:sz w:val="24"/>
                <w:szCs w:val="24"/>
              </w:rPr>
              <w:t>et</w:t>
            </w:r>
            <w:r>
              <w:rPr>
                <w:smallCaps/>
                <w:sz w:val="24"/>
                <w:szCs w:val="24"/>
              </w:rPr>
              <w:t xml:space="preserve"> N. Bonbled (</w:t>
            </w:r>
            <w:r>
              <w:rPr>
                <w:sz w:val="24"/>
                <w:szCs w:val="24"/>
              </w:rPr>
              <w:t>dir.),</w:t>
            </w:r>
            <w:r w:rsidRPr="00E14273">
              <w:rPr>
                <w:i/>
                <w:sz w:val="24"/>
                <w:szCs w:val="24"/>
              </w:rPr>
              <w:t xml:space="preserve"> </w:t>
            </w:r>
            <w:r w:rsidRPr="00E14273">
              <w:rPr>
                <w:bCs/>
                <w:i/>
                <w:sz w:val="24"/>
                <w:szCs w:val="24"/>
              </w:rPr>
              <w:t>Les droits constitutionnels en Belgique - Les enseignements jurisprudentiels de la Cour constitutionnelle, du Conseil d</w:t>
            </w:r>
            <w:r>
              <w:rPr>
                <w:bCs/>
                <w:i/>
                <w:sz w:val="24"/>
                <w:szCs w:val="24"/>
              </w:rPr>
              <w:t>’É</w:t>
            </w:r>
            <w:r w:rsidRPr="00E14273">
              <w:rPr>
                <w:bCs/>
                <w:i/>
                <w:sz w:val="24"/>
                <w:szCs w:val="24"/>
              </w:rPr>
              <w:t>tat et de la Cour de cassation</w:t>
            </w:r>
            <w:r w:rsidRPr="00503C52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Bruxelles, Bruylant, 2011, p. 1175 à 1294.</w:t>
            </w:r>
          </w:p>
          <w:p w14:paraId="329B3E78" w14:textId="2D9E317A" w:rsidR="0089457C" w:rsidRDefault="000911AD" w:rsidP="00A83FF8">
            <w:pPr>
              <w:pStyle w:val="Corpsdetexte"/>
              <w:rPr>
                <w:color w:val="FF0000"/>
                <w:sz w:val="24"/>
                <w:szCs w:val="24"/>
              </w:rPr>
            </w:pPr>
            <w:r w:rsidRPr="00F52148">
              <w:rPr>
                <w:sz w:val="24"/>
                <w:szCs w:val="24"/>
                <w:u w:val="single"/>
              </w:rPr>
              <w:t>Articles de périodique</w:t>
            </w:r>
            <w:r w:rsidRPr="00AF2247">
              <w:rPr>
                <w:sz w:val="24"/>
                <w:szCs w:val="24"/>
              </w:rPr>
              <w:t> :</w:t>
            </w:r>
          </w:p>
          <w:p w14:paraId="3A5239B3" w14:textId="5A1CC617" w:rsidR="00AE4D7A" w:rsidRPr="00AE4D7A" w:rsidRDefault="00AE4D7A" w:rsidP="00AE4D7A">
            <w:pPr>
              <w:rPr>
                <w:sz w:val="24"/>
                <w:szCs w:val="24"/>
              </w:rPr>
            </w:pPr>
            <w:r w:rsidRPr="00AE4D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AE4D7A">
              <w:rPr>
                <w:sz w:val="24"/>
                <w:szCs w:val="24"/>
              </w:rPr>
              <w:t xml:space="preserve">. avec C. </w:t>
            </w:r>
            <w:r w:rsidRPr="00AE4D7A">
              <w:rPr>
                <w:smallCaps/>
                <w:sz w:val="24"/>
                <w:szCs w:val="24"/>
              </w:rPr>
              <w:t>Romainville</w:t>
            </w:r>
            <w:r w:rsidRPr="00AE4D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« Pour des parlementaires plus irresponsables », </w:t>
            </w:r>
            <w:r w:rsidR="00F60004">
              <w:rPr>
                <w:i/>
                <w:sz w:val="24"/>
                <w:szCs w:val="24"/>
              </w:rPr>
              <w:t>Journal des tribunaux</w:t>
            </w:r>
            <w:r>
              <w:rPr>
                <w:sz w:val="24"/>
                <w:szCs w:val="24"/>
              </w:rPr>
              <w:t xml:space="preserve">, </w:t>
            </w:r>
            <w:r w:rsidR="0019484A">
              <w:rPr>
                <w:sz w:val="24"/>
                <w:szCs w:val="24"/>
              </w:rPr>
              <w:t>2017, p. 449 à 451.</w:t>
            </w:r>
          </w:p>
          <w:p w14:paraId="30746176" w14:textId="77777777" w:rsidR="00681455" w:rsidRDefault="00681455" w:rsidP="000911AD">
            <w:pPr>
              <w:rPr>
                <w:sz w:val="24"/>
                <w:szCs w:val="24"/>
              </w:rPr>
            </w:pPr>
          </w:p>
          <w:p w14:paraId="4FB2C3D8" w14:textId="076C2EFC" w:rsidR="00853A86" w:rsidRPr="00516DC6" w:rsidRDefault="00853A86" w:rsidP="000911AD">
            <w:pPr>
              <w:rPr>
                <w:sz w:val="24"/>
                <w:szCs w:val="24"/>
              </w:rPr>
            </w:pPr>
            <w:r w:rsidRPr="00516DC6">
              <w:rPr>
                <w:sz w:val="24"/>
                <w:szCs w:val="24"/>
              </w:rPr>
              <w:t xml:space="preserve">13. </w:t>
            </w:r>
            <w:r w:rsidR="001D6817">
              <w:rPr>
                <w:sz w:val="24"/>
                <w:szCs w:val="24"/>
              </w:rPr>
              <w:t>« Salomon chez les médecins</w:t>
            </w:r>
            <w:r w:rsidR="00186D97">
              <w:rPr>
                <w:sz w:val="24"/>
                <w:szCs w:val="24"/>
              </w:rPr>
              <w:t xml:space="preserve"> : le </w:t>
            </w:r>
            <w:r w:rsidR="00644E35">
              <w:rPr>
                <w:sz w:val="24"/>
                <w:szCs w:val="24"/>
              </w:rPr>
              <w:t>numerus clausus</w:t>
            </w:r>
            <w:r w:rsidR="00186D97">
              <w:rPr>
                <w:sz w:val="24"/>
                <w:szCs w:val="24"/>
              </w:rPr>
              <w:t xml:space="preserve"> tranché par le Conseil d’Etat</w:t>
            </w:r>
            <w:r w:rsidR="001D6817">
              <w:rPr>
                <w:sz w:val="24"/>
                <w:szCs w:val="24"/>
              </w:rPr>
              <w:t xml:space="preserve"> </w:t>
            </w:r>
            <w:r w:rsidR="00FB5D62" w:rsidRPr="00516DC6">
              <w:rPr>
                <w:sz w:val="24"/>
                <w:szCs w:val="24"/>
              </w:rPr>
              <w:t xml:space="preserve">», </w:t>
            </w:r>
            <w:r w:rsidR="00FB5D62" w:rsidRPr="00516DC6">
              <w:rPr>
                <w:i/>
                <w:sz w:val="24"/>
                <w:szCs w:val="24"/>
              </w:rPr>
              <w:t>Administration publique</w:t>
            </w:r>
            <w:r w:rsidR="00AB5300">
              <w:rPr>
                <w:sz w:val="24"/>
                <w:szCs w:val="24"/>
              </w:rPr>
              <w:t>, 2016/</w:t>
            </w:r>
            <w:r w:rsidR="00FB5D62" w:rsidRPr="00516DC6">
              <w:rPr>
                <w:sz w:val="24"/>
                <w:szCs w:val="24"/>
              </w:rPr>
              <w:t xml:space="preserve">4, à </w:t>
            </w:r>
            <w:r w:rsidR="0070322C">
              <w:rPr>
                <w:sz w:val="24"/>
                <w:szCs w:val="24"/>
              </w:rPr>
              <w:t>p. 470 à 490</w:t>
            </w:r>
            <w:r w:rsidR="00FB5D62" w:rsidRPr="00516DC6">
              <w:rPr>
                <w:sz w:val="24"/>
                <w:szCs w:val="24"/>
              </w:rPr>
              <w:t>.</w:t>
            </w:r>
          </w:p>
          <w:p w14:paraId="415F32CD" w14:textId="77777777" w:rsidR="00853A86" w:rsidRDefault="00853A86" w:rsidP="000911AD">
            <w:pPr>
              <w:rPr>
                <w:sz w:val="24"/>
                <w:szCs w:val="24"/>
              </w:rPr>
            </w:pPr>
          </w:p>
          <w:p w14:paraId="47EABDD7" w14:textId="7B872538" w:rsidR="00237A9A" w:rsidRPr="003F6B31" w:rsidRDefault="00237A9A" w:rsidP="000911AD">
            <w:pPr>
              <w:rPr>
                <w:sz w:val="24"/>
                <w:szCs w:val="24"/>
              </w:rPr>
            </w:pPr>
            <w:r w:rsidRPr="003F6B31">
              <w:rPr>
                <w:sz w:val="24"/>
                <w:szCs w:val="24"/>
              </w:rPr>
              <w:t>1</w:t>
            </w:r>
            <w:r w:rsidR="007A66BD" w:rsidRPr="003F6B31">
              <w:rPr>
                <w:sz w:val="24"/>
                <w:szCs w:val="24"/>
              </w:rPr>
              <w:t>2</w:t>
            </w:r>
            <w:r w:rsidRPr="003F6B31">
              <w:rPr>
                <w:sz w:val="24"/>
                <w:szCs w:val="24"/>
              </w:rPr>
              <w:t xml:space="preserve">. </w:t>
            </w:r>
            <w:r w:rsidR="003F6B31" w:rsidRPr="003F6B31">
              <w:rPr>
                <w:sz w:val="24"/>
                <w:szCs w:val="24"/>
              </w:rPr>
              <w:t>« </w:t>
            </w:r>
            <w:r w:rsidR="003F6B31" w:rsidRPr="003F6B31">
              <w:rPr>
                <w:rFonts w:cs="Helvetica"/>
                <w:sz w:val="24"/>
                <w:szCs w:val="24"/>
                <w:lang w:val="fr-FR" w:eastAsia="fr-BE"/>
              </w:rPr>
              <w:t>L’abaissement du début de l’obligation scolaire par l’autorité fédérale ou par les communautés au regard de la répartition des compétences et des droits fondamentaux en matière d'enseignement »</w:t>
            </w:r>
            <w:r w:rsidRPr="003F6B31">
              <w:rPr>
                <w:sz w:val="24"/>
                <w:szCs w:val="24"/>
              </w:rPr>
              <w:t xml:space="preserve">, </w:t>
            </w:r>
            <w:r w:rsidRPr="003F6B31">
              <w:rPr>
                <w:i/>
                <w:sz w:val="24"/>
                <w:szCs w:val="24"/>
              </w:rPr>
              <w:t>Revue belge de droit constitutionnel</w:t>
            </w:r>
            <w:r w:rsidR="008570CC" w:rsidRPr="003F6B31">
              <w:rPr>
                <w:sz w:val="24"/>
                <w:szCs w:val="24"/>
              </w:rPr>
              <w:t>, 20</w:t>
            </w:r>
            <w:r w:rsidR="008E452A">
              <w:rPr>
                <w:sz w:val="24"/>
                <w:szCs w:val="24"/>
              </w:rPr>
              <w:t>1</w:t>
            </w:r>
            <w:r w:rsidR="008570CC" w:rsidRPr="003F6B31">
              <w:rPr>
                <w:sz w:val="24"/>
                <w:szCs w:val="24"/>
              </w:rPr>
              <w:t>6/1</w:t>
            </w:r>
            <w:r w:rsidR="005D082F">
              <w:rPr>
                <w:sz w:val="24"/>
                <w:szCs w:val="24"/>
              </w:rPr>
              <w:t>, p. 41 à 57</w:t>
            </w:r>
            <w:r w:rsidR="008570CC" w:rsidRPr="003F6B31">
              <w:rPr>
                <w:sz w:val="24"/>
                <w:szCs w:val="24"/>
              </w:rPr>
              <w:t>.</w:t>
            </w:r>
          </w:p>
          <w:p w14:paraId="1381BA46" w14:textId="77777777" w:rsidR="00237A9A" w:rsidRDefault="00237A9A" w:rsidP="000911AD">
            <w:pPr>
              <w:rPr>
                <w:sz w:val="24"/>
                <w:szCs w:val="24"/>
              </w:rPr>
            </w:pPr>
          </w:p>
          <w:p w14:paraId="72D3C8BF" w14:textId="059D1BD6" w:rsidR="000911AD" w:rsidRDefault="000911AD" w:rsidP="0009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66BD">
              <w:rPr>
                <w:sz w:val="24"/>
                <w:szCs w:val="24"/>
              </w:rPr>
              <w:t>1</w:t>
            </w:r>
            <w:r w:rsidRPr="00815DD3">
              <w:rPr>
                <w:sz w:val="24"/>
                <w:szCs w:val="24"/>
              </w:rPr>
              <w:t xml:space="preserve">. avec I. </w:t>
            </w:r>
            <w:r w:rsidRPr="00815DD3">
              <w:rPr>
                <w:smallCaps/>
                <w:sz w:val="24"/>
                <w:szCs w:val="24"/>
              </w:rPr>
              <w:t>Hachez</w:t>
            </w:r>
            <w:r w:rsidRPr="00815DD3">
              <w:rPr>
                <w:sz w:val="24"/>
                <w:szCs w:val="24"/>
              </w:rPr>
              <w:t>, « Lorsque l’inclusion se décrète : le décret de la Commission communautaire française du 17 janvier 2014 relatif à l’inclusion de la personne handicapée</w:t>
            </w:r>
            <w:r w:rsidRPr="00815DD3">
              <w:rPr>
                <w:b/>
                <w:sz w:val="24"/>
                <w:szCs w:val="24"/>
              </w:rPr>
              <w:t xml:space="preserve"> </w:t>
            </w:r>
            <w:r w:rsidRPr="00815DD3">
              <w:rPr>
                <w:sz w:val="24"/>
                <w:szCs w:val="24"/>
              </w:rPr>
              <w:t xml:space="preserve">», </w:t>
            </w:r>
            <w:r w:rsidRPr="00815DD3">
              <w:rPr>
                <w:i/>
                <w:sz w:val="24"/>
                <w:szCs w:val="24"/>
              </w:rPr>
              <w:t>Revue interdisciplinaire d’études juridiques</w:t>
            </w:r>
            <w:r w:rsidRPr="00815DD3">
              <w:rPr>
                <w:sz w:val="24"/>
                <w:szCs w:val="24"/>
              </w:rPr>
              <w:t>, 2015</w:t>
            </w:r>
            <w:r>
              <w:rPr>
                <w:sz w:val="24"/>
                <w:szCs w:val="24"/>
              </w:rPr>
              <w:t>, n° 74, p. 55 à 89</w:t>
            </w:r>
            <w:r w:rsidRPr="00815DD3">
              <w:rPr>
                <w:sz w:val="24"/>
                <w:szCs w:val="24"/>
              </w:rPr>
              <w:t>.</w:t>
            </w:r>
          </w:p>
          <w:p w14:paraId="59443C2E" w14:textId="77777777" w:rsidR="007A66BD" w:rsidRDefault="007A66BD" w:rsidP="000911AD">
            <w:pPr>
              <w:rPr>
                <w:sz w:val="24"/>
                <w:szCs w:val="24"/>
              </w:rPr>
            </w:pPr>
          </w:p>
          <w:p w14:paraId="29C5A1B4" w14:textId="57EE4777" w:rsidR="007A66BD" w:rsidRPr="00EC7A79" w:rsidRDefault="007A66BD" w:rsidP="00EC7A79">
            <w:pPr>
              <w:pStyle w:val="NormalWeb"/>
              <w:rPr>
                <w:rFonts w:ascii="Garamond" w:hAnsi="Garamond"/>
                <w:sz w:val="20"/>
                <w:szCs w:val="20"/>
                <w:lang w:eastAsia="fr-FR"/>
              </w:rPr>
            </w:pPr>
            <w:r w:rsidRPr="00EC7A79">
              <w:rPr>
                <w:rFonts w:ascii="Garamond" w:hAnsi="Garamond"/>
              </w:rPr>
              <w:t xml:space="preserve">10. </w:t>
            </w:r>
            <w:r w:rsidR="00EC7A79" w:rsidRPr="00EC7A79">
              <w:rPr>
                <w:rFonts w:ascii="Garamond" w:hAnsi="Garamond"/>
              </w:rPr>
              <w:t xml:space="preserve">avec I. </w:t>
            </w:r>
            <w:r w:rsidR="00EC7A79" w:rsidRPr="00EC7A79">
              <w:rPr>
                <w:rFonts w:ascii="Garamond" w:hAnsi="Garamond"/>
                <w:smallCaps/>
              </w:rPr>
              <w:t>Hachez</w:t>
            </w:r>
            <w:r w:rsidR="00EC7A79" w:rsidRPr="00EC7A79">
              <w:rPr>
                <w:rFonts w:ascii="Garamond" w:hAnsi="Garamond"/>
              </w:rPr>
              <w:t xml:space="preserve">, G. </w:t>
            </w:r>
            <w:r w:rsidR="00EC7A79" w:rsidRPr="00EC7A79">
              <w:rPr>
                <w:rFonts w:ascii="Garamond" w:hAnsi="Garamond"/>
                <w:smallCaps/>
              </w:rPr>
              <w:t>de Stexhe</w:t>
            </w:r>
            <w:r w:rsidR="00EC7A79" w:rsidRPr="00EC7A79">
              <w:rPr>
                <w:rFonts w:ascii="Garamond" w:hAnsi="Garamond"/>
              </w:rPr>
              <w:t xml:space="preserve">, N. </w:t>
            </w:r>
            <w:r w:rsidR="00EC7A79" w:rsidRPr="00EC7A79">
              <w:rPr>
                <w:rFonts w:ascii="Garamond" w:hAnsi="Garamond"/>
                <w:smallCaps/>
              </w:rPr>
              <w:t>Marquis</w:t>
            </w:r>
            <w:r w:rsidR="00EC7A79" w:rsidRPr="00EC7A79">
              <w:rPr>
                <w:rFonts w:ascii="Garamond" w:hAnsi="Garamond"/>
              </w:rPr>
              <w:t xml:space="preserve"> et M. </w:t>
            </w:r>
            <w:r w:rsidR="00EC7A79" w:rsidRPr="00EC7A79">
              <w:rPr>
                <w:rFonts w:ascii="Garamond" w:hAnsi="Garamond"/>
                <w:smallCaps/>
              </w:rPr>
              <w:t>Vanderstraeten</w:t>
            </w:r>
            <w:r w:rsidR="00EC7A79" w:rsidRPr="00EC7A79">
              <w:rPr>
                <w:rFonts w:ascii="Garamond" w:hAnsi="Garamond"/>
              </w:rPr>
              <w:t xml:space="preserve">, « Introduction » et « Conclusions générales » du dossier </w:t>
            </w:r>
            <w:r w:rsidR="00EC7A79" w:rsidRPr="00EC7A79">
              <w:rPr>
                <w:rFonts w:ascii="Garamond" w:hAnsi="Garamond"/>
                <w:lang w:eastAsia="fr-FR"/>
              </w:rPr>
              <w:t>« Pour que la norme ne soit plus la norme. Vers l’inclusion des personnes en situation de handicap</w:t>
            </w:r>
            <w:r w:rsidR="005E2BF2">
              <w:rPr>
                <w:rFonts w:ascii="Garamond" w:hAnsi="Garamond"/>
                <w:lang w:eastAsia="fr-FR"/>
              </w:rPr>
              <w:t xml:space="preserve"> </w:t>
            </w:r>
            <w:r w:rsidR="00EC7A79" w:rsidRPr="00EC7A79">
              <w:rPr>
                <w:rFonts w:ascii="Garamond" w:hAnsi="Garamond"/>
                <w:lang w:eastAsia="fr-FR"/>
              </w:rPr>
              <w:t>»</w:t>
            </w:r>
            <w:r w:rsidR="00EC7A79" w:rsidRPr="00EC7A79">
              <w:rPr>
                <w:rFonts w:ascii="Garamond" w:hAnsi="Garamond"/>
              </w:rPr>
              <w:t xml:space="preserve">, </w:t>
            </w:r>
            <w:r w:rsidR="00EC7A79" w:rsidRPr="00EC7A79">
              <w:rPr>
                <w:rFonts w:ascii="Garamond" w:hAnsi="Garamond"/>
                <w:i/>
              </w:rPr>
              <w:t>Revue interdisciplinaire d’études juridiques</w:t>
            </w:r>
            <w:r w:rsidR="00EC7A79" w:rsidRPr="00EC7A79">
              <w:rPr>
                <w:rFonts w:ascii="Garamond" w:hAnsi="Garamond"/>
              </w:rPr>
              <w:t>, 2015, n° 74, p. 51 à 53, 173 à 180.</w:t>
            </w:r>
          </w:p>
          <w:p w14:paraId="41C945DE" w14:textId="77777777" w:rsidR="000911AD" w:rsidRPr="00815DD3" w:rsidRDefault="000911AD" w:rsidP="000911AD">
            <w:pPr>
              <w:rPr>
                <w:sz w:val="24"/>
                <w:szCs w:val="24"/>
              </w:rPr>
            </w:pPr>
          </w:p>
          <w:p w14:paraId="618A2080" w14:textId="77777777" w:rsidR="000911AD" w:rsidRPr="004505D5" w:rsidRDefault="000911AD" w:rsidP="000911AD">
            <w:pPr>
              <w:pStyle w:val="Corpsdetexte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27E6C">
              <w:rPr>
                <w:sz w:val="24"/>
                <w:szCs w:val="24"/>
              </w:rPr>
              <w:t xml:space="preserve">. avec L.-L. </w:t>
            </w:r>
            <w:r w:rsidRPr="00027E6C">
              <w:rPr>
                <w:smallCaps/>
                <w:sz w:val="24"/>
                <w:szCs w:val="24"/>
              </w:rPr>
              <w:t>Christians</w:t>
            </w:r>
            <w:r w:rsidRPr="00027E6C">
              <w:rPr>
                <w:sz w:val="24"/>
                <w:szCs w:val="24"/>
              </w:rPr>
              <w:t>, « </w:t>
            </w:r>
            <w:r>
              <w:rPr>
                <w:sz w:val="24"/>
                <w:szCs w:val="24"/>
              </w:rPr>
              <w:t xml:space="preserve">De la neutralité perdue à l’exemption du cours de morale. Commentaire de l’arrêt n° 34/2015 de la Cour constitutionnelle », </w:t>
            </w:r>
            <w:r w:rsidRPr="00027E6C">
              <w:rPr>
                <w:i/>
                <w:sz w:val="24"/>
                <w:szCs w:val="24"/>
              </w:rPr>
              <w:t>Journal des tribunaux</w:t>
            </w:r>
            <w:r w:rsidRPr="00027E6C">
              <w:rPr>
                <w:sz w:val="24"/>
                <w:szCs w:val="24"/>
              </w:rPr>
              <w:t>, 2015, p. 437 à 444.</w:t>
            </w:r>
          </w:p>
          <w:p w14:paraId="0B0DB9F3" w14:textId="77777777" w:rsidR="000911AD" w:rsidRPr="00860264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6026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</w:t>
            </w:r>
            <w:r w:rsidRPr="00860264">
              <w:rPr>
                <w:sz w:val="24"/>
                <w:szCs w:val="24"/>
              </w:rPr>
              <w:t xml:space="preserve">vec H. </w:t>
            </w:r>
            <w:r w:rsidRPr="00860264">
              <w:rPr>
                <w:smallCaps/>
                <w:sz w:val="24"/>
                <w:szCs w:val="24"/>
              </w:rPr>
              <w:t>Dumont</w:t>
            </w:r>
            <w:r w:rsidRPr="00860264">
              <w:rPr>
                <w:sz w:val="24"/>
                <w:szCs w:val="24"/>
              </w:rPr>
              <w:t xml:space="preserve">, « Prendre </w:t>
            </w:r>
            <w:r>
              <w:rPr>
                <w:sz w:val="24"/>
                <w:szCs w:val="24"/>
              </w:rPr>
              <w:t xml:space="preserve">plus </w:t>
            </w:r>
            <w:r w:rsidRPr="00860264">
              <w:rPr>
                <w:sz w:val="24"/>
                <w:szCs w:val="24"/>
              </w:rPr>
              <w:t xml:space="preserve">au sérieux la fonction législative des parlementaires », </w:t>
            </w:r>
            <w:r w:rsidRPr="00860264">
              <w:rPr>
                <w:i/>
                <w:sz w:val="24"/>
                <w:szCs w:val="24"/>
              </w:rPr>
              <w:t>Revue belge de droit constitutionnel</w:t>
            </w:r>
            <w:r w:rsidRPr="008602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2014/3-4, </w:t>
            </w:r>
            <w:r w:rsidRPr="00860264">
              <w:rPr>
                <w:sz w:val="24"/>
                <w:szCs w:val="24"/>
              </w:rPr>
              <w:t>numéro spécial 20</w:t>
            </w:r>
            <w:r w:rsidRPr="00860264">
              <w:rPr>
                <w:sz w:val="24"/>
                <w:szCs w:val="24"/>
                <w:vertAlign w:val="superscript"/>
              </w:rPr>
              <w:t>e</w:t>
            </w:r>
            <w:r w:rsidRPr="00860264">
              <w:rPr>
                <w:sz w:val="24"/>
                <w:szCs w:val="24"/>
              </w:rPr>
              <w:t xml:space="preserve"> anniversaire, p. 331 à 347.</w:t>
            </w:r>
          </w:p>
          <w:p w14:paraId="28A364E3" w14:textId="77777777" w:rsidR="000911AD" w:rsidRPr="003B697F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avec X. </w:t>
            </w:r>
            <w:r>
              <w:rPr>
                <w:smallCaps/>
                <w:sz w:val="24"/>
                <w:szCs w:val="24"/>
              </w:rPr>
              <w:t>Delgrange</w:t>
            </w:r>
            <w:r>
              <w:rPr>
                <w:sz w:val="24"/>
                <w:szCs w:val="24"/>
              </w:rPr>
              <w:t xml:space="preserve">, « Pour vivre ensemble, vivons dévisagés. Le voile intégral sous le regard des juges constitutionnels belge et français », </w:t>
            </w:r>
            <w:r w:rsidRPr="00BC2B0A">
              <w:rPr>
                <w:i/>
                <w:sz w:val="24"/>
                <w:szCs w:val="24"/>
              </w:rPr>
              <w:t>R</w:t>
            </w:r>
            <w:r>
              <w:rPr>
                <w:i/>
                <w:sz w:val="24"/>
                <w:szCs w:val="24"/>
              </w:rPr>
              <w:t>evue trimestrielle des droits de l’homme</w:t>
            </w:r>
            <w:r>
              <w:rPr>
                <w:sz w:val="24"/>
                <w:szCs w:val="24"/>
              </w:rPr>
              <w:t xml:space="preserve">, 2014/3, p. 639 </w:t>
            </w:r>
            <w:r>
              <w:rPr>
                <w:sz w:val="24"/>
                <w:szCs w:val="24"/>
              </w:rPr>
              <w:lastRenderedPageBreak/>
              <w:t>à 665.</w:t>
            </w:r>
          </w:p>
          <w:p w14:paraId="1F62287E" w14:textId="77777777" w:rsidR="000911AD" w:rsidRPr="00F52148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« Foulard à l’école : le Conseil d’État clôt la saga carolorégienne », </w:t>
            </w:r>
            <w:r>
              <w:rPr>
                <w:i/>
                <w:sz w:val="24"/>
                <w:szCs w:val="24"/>
              </w:rPr>
              <w:t xml:space="preserve">Administration </w:t>
            </w:r>
            <w:r w:rsidRPr="004F29D4">
              <w:rPr>
                <w:i/>
                <w:sz w:val="24"/>
                <w:szCs w:val="24"/>
              </w:rPr>
              <w:t>publique</w:t>
            </w:r>
            <w:r>
              <w:rPr>
                <w:sz w:val="24"/>
                <w:szCs w:val="24"/>
              </w:rPr>
              <w:t xml:space="preserve">, </w:t>
            </w:r>
            <w:r w:rsidRPr="004F29D4">
              <w:rPr>
                <w:sz w:val="24"/>
                <w:szCs w:val="24"/>
              </w:rPr>
              <w:t>2013</w:t>
            </w:r>
            <w:r>
              <w:rPr>
                <w:sz w:val="24"/>
                <w:szCs w:val="24"/>
              </w:rPr>
              <w:t>/4, p. 383 à 409.</w:t>
            </w:r>
          </w:p>
          <w:p w14:paraId="13B81CF4" w14:textId="463F8883" w:rsidR="000911AD" w:rsidRPr="0029612E" w:rsidRDefault="000911AD" w:rsidP="0029612E">
            <w:pPr>
              <w:pStyle w:val="Objectifs"/>
              <w:rPr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5. « </w:t>
            </w:r>
            <w:r>
              <w:rPr>
                <w:sz w:val="24"/>
                <w:szCs w:val="24"/>
              </w:rPr>
              <w:t xml:space="preserve">La liberté d’enseignement entre érosion et résistance », </w:t>
            </w:r>
            <w:r>
              <w:rPr>
                <w:i/>
                <w:sz w:val="24"/>
                <w:szCs w:val="24"/>
              </w:rPr>
              <w:t>La Revue nouvelle</w:t>
            </w:r>
            <w:r>
              <w:rPr>
                <w:sz w:val="24"/>
                <w:szCs w:val="24"/>
              </w:rPr>
              <w:t xml:space="preserve">, mars 2013, p. </w:t>
            </w:r>
            <w:r w:rsidRPr="006D5221">
              <w:rPr>
                <w:sz w:val="24"/>
                <w:szCs w:val="24"/>
              </w:rPr>
              <w:t>32 à 45.</w:t>
            </w:r>
            <w:r>
              <w:rPr>
                <w:sz w:val="24"/>
                <w:szCs w:val="24"/>
              </w:rPr>
              <w:t xml:space="preserve"> Cette contribution forme le fil rouge du dossier de ce numéro intitulé « Enseignement, une liberté à réinterroger », avec les réactions de </w:t>
            </w:r>
            <w:r w:rsidRPr="008559F2">
              <w:rPr>
                <w:sz w:val="24"/>
                <w:szCs w:val="24"/>
              </w:rPr>
              <w:t>A. Bastenier, D. Carlier, X. Delgrange, J.-Y. Donnay, H. Goldman, D. Grootaers, J.-P. Kerckhofs, C. Maroy, J. Sautois, B. Van der Meerschen et R. Vittali</w:t>
            </w:r>
            <w:r>
              <w:rPr>
                <w:smallCaps/>
                <w:sz w:val="24"/>
                <w:szCs w:val="24"/>
              </w:rPr>
              <w:t>.</w:t>
            </w:r>
            <w:r w:rsidR="0029612E">
              <w:rPr>
                <w:sz w:val="24"/>
                <w:szCs w:val="24"/>
              </w:rPr>
              <w:t xml:space="preserve"> </w:t>
            </w:r>
          </w:p>
          <w:p w14:paraId="193B7271" w14:textId="77777777" w:rsidR="000911AD" w:rsidRPr="002641B2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avec </w:t>
            </w:r>
            <w:r>
              <w:rPr>
                <w:smallCaps/>
                <w:sz w:val="24"/>
                <w:szCs w:val="24"/>
              </w:rPr>
              <w:t>X. Delgrange</w:t>
            </w:r>
            <w:r>
              <w:rPr>
                <w:sz w:val="24"/>
                <w:szCs w:val="24"/>
              </w:rPr>
              <w:t xml:space="preserve">, « Écoles flamandes de Bruxelles : la préférence linguistique validée », </w:t>
            </w:r>
            <w:r>
              <w:rPr>
                <w:i/>
                <w:sz w:val="24"/>
                <w:szCs w:val="24"/>
              </w:rPr>
              <w:t xml:space="preserve">Administration </w:t>
            </w:r>
            <w:r w:rsidRPr="002641B2">
              <w:rPr>
                <w:i/>
                <w:sz w:val="24"/>
                <w:szCs w:val="24"/>
              </w:rPr>
              <w:t>publique</w:t>
            </w:r>
            <w:r>
              <w:rPr>
                <w:sz w:val="24"/>
                <w:szCs w:val="24"/>
              </w:rPr>
              <w:t>, 2012/2, p. 396 à 401.</w:t>
            </w:r>
          </w:p>
          <w:p w14:paraId="18A21C90" w14:textId="1629ED23" w:rsidR="000911AD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avec L. </w:t>
            </w:r>
            <w:r>
              <w:rPr>
                <w:smallCaps/>
                <w:sz w:val="24"/>
                <w:szCs w:val="24"/>
              </w:rPr>
              <w:t>Van Leeuw</w:t>
            </w:r>
            <w:r>
              <w:rPr>
                <w:sz w:val="24"/>
                <w:szCs w:val="24"/>
              </w:rPr>
              <w:t xml:space="preserve">, « La règle d’or, et la souveraineté cauchemarde », </w:t>
            </w:r>
            <w:r>
              <w:rPr>
                <w:i/>
                <w:sz w:val="24"/>
                <w:szCs w:val="24"/>
              </w:rPr>
              <w:t>La Revue nouvelle</w:t>
            </w:r>
            <w:r>
              <w:rPr>
                <w:sz w:val="24"/>
                <w:szCs w:val="24"/>
              </w:rPr>
              <w:t xml:space="preserve">, janvier 2012, p. 115 à 122. </w:t>
            </w:r>
          </w:p>
          <w:p w14:paraId="1E2E8D0B" w14:textId="77777777" w:rsidR="000911AD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55DAF">
              <w:rPr>
                <w:sz w:val="24"/>
                <w:szCs w:val="24"/>
              </w:rPr>
              <w:t>« </w:t>
            </w:r>
            <w:r>
              <w:rPr>
                <w:sz w:val="24"/>
                <w:szCs w:val="24"/>
              </w:rPr>
              <w:t xml:space="preserve">L’enseignement à domicile perquisitionné. Commentaire de l’arrêt 107/2009 de la Cour constitutionnelle », </w:t>
            </w:r>
            <w:r>
              <w:rPr>
                <w:i/>
                <w:sz w:val="24"/>
                <w:szCs w:val="24"/>
              </w:rPr>
              <w:t>Journal des tribunaux</w:t>
            </w:r>
            <w:r>
              <w:rPr>
                <w:sz w:val="24"/>
                <w:szCs w:val="24"/>
              </w:rPr>
              <w:t>, 2009, n°6371, p.701 à 706.</w:t>
            </w:r>
          </w:p>
          <w:p w14:paraId="7AE59278" w14:textId="77777777" w:rsidR="000911AD" w:rsidRDefault="000911AD" w:rsidP="000911AD">
            <w:pPr>
              <w:pStyle w:val="Objectif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avec </w:t>
            </w:r>
            <w:r>
              <w:rPr>
                <w:smallCaps/>
                <w:sz w:val="24"/>
                <w:szCs w:val="24"/>
              </w:rPr>
              <w:t>X. Delgrange,</w:t>
            </w:r>
            <w:r>
              <w:rPr>
                <w:sz w:val="24"/>
                <w:szCs w:val="24"/>
              </w:rPr>
              <w:t xml:space="preserve"> « Inscrire son enfant dans une école francophone, comment sortir du libre de la jungle ? », </w:t>
            </w:r>
            <w:r w:rsidRPr="00961072">
              <w:rPr>
                <w:i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ijdschrift voor onderwijsrecht en onderwijsbeleid</w:t>
            </w:r>
            <w:r>
              <w:rPr>
                <w:sz w:val="24"/>
                <w:szCs w:val="24"/>
              </w:rPr>
              <w:t xml:space="preserve">, 2008-2009, n°6, p. 459 à 476. </w:t>
            </w:r>
          </w:p>
          <w:p w14:paraId="74AA83B6" w14:textId="77777777" w:rsidR="004244B6" w:rsidRDefault="000911AD" w:rsidP="004244B6">
            <w:pPr>
              <w:pStyle w:val="Corpsdetexte"/>
              <w:rPr>
                <w:b/>
                <w:sz w:val="24"/>
                <w:szCs w:val="24"/>
              </w:rPr>
            </w:pPr>
            <w:r w:rsidRPr="00117728">
              <w:rPr>
                <w:b/>
                <w:sz w:val="24"/>
                <w:szCs w:val="24"/>
              </w:rPr>
              <w:t>Autres publications</w:t>
            </w:r>
          </w:p>
          <w:p w14:paraId="1563948A" w14:textId="5ABF8A94" w:rsidR="004244B6" w:rsidRPr="004244B6" w:rsidRDefault="008D59BF" w:rsidP="004244B6">
            <w:pPr>
              <w:pStyle w:val="Corpsdetexte"/>
              <w:rPr>
                <w:sz w:val="24"/>
                <w:szCs w:val="24"/>
              </w:rPr>
            </w:pPr>
            <w:r w:rsidRPr="004244B6">
              <w:rPr>
                <w:sz w:val="24"/>
                <w:szCs w:val="24"/>
              </w:rPr>
              <w:t xml:space="preserve">12. </w:t>
            </w:r>
            <w:r w:rsidR="00AE3082" w:rsidRPr="004244B6">
              <w:rPr>
                <w:sz w:val="24"/>
                <w:szCs w:val="24"/>
              </w:rPr>
              <w:t>« </w:t>
            </w:r>
            <w:r w:rsidRPr="004244B6">
              <w:rPr>
                <w:sz w:val="24"/>
                <w:szCs w:val="24"/>
              </w:rPr>
              <w:t>Abat</w:t>
            </w:r>
            <w:r w:rsidR="00AE3082" w:rsidRPr="004244B6">
              <w:rPr>
                <w:sz w:val="24"/>
                <w:szCs w:val="24"/>
              </w:rPr>
              <w:t xml:space="preserve">tage rituel : </w:t>
            </w:r>
            <w:r w:rsidR="003F2580" w:rsidRPr="004244B6">
              <w:rPr>
                <w:sz w:val="24"/>
                <w:szCs w:val="24"/>
              </w:rPr>
              <w:t xml:space="preserve">faut-il sacrifier </w:t>
            </w:r>
            <w:r w:rsidR="00AE3082" w:rsidRPr="004244B6">
              <w:rPr>
                <w:sz w:val="24"/>
                <w:szCs w:val="24"/>
              </w:rPr>
              <w:t xml:space="preserve">la liberté religieuse sur l’autel du bien-être animal ? », www.justice-en-ligne.be, mise en ligne le </w:t>
            </w:r>
            <w:r w:rsidR="0035697E" w:rsidRPr="004244B6">
              <w:rPr>
                <w:sz w:val="24"/>
                <w:szCs w:val="24"/>
              </w:rPr>
              <w:t xml:space="preserve">13 </w:t>
            </w:r>
            <w:r w:rsidR="00305364" w:rsidRPr="004244B6">
              <w:rPr>
                <w:sz w:val="24"/>
                <w:szCs w:val="24"/>
              </w:rPr>
              <w:t>février 201</w:t>
            </w:r>
            <w:r w:rsidR="00983988" w:rsidRPr="004244B6">
              <w:rPr>
                <w:sz w:val="24"/>
                <w:szCs w:val="24"/>
              </w:rPr>
              <w:t>7</w:t>
            </w:r>
            <w:r w:rsidR="00AE3082" w:rsidRPr="004244B6">
              <w:rPr>
                <w:sz w:val="24"/>
                <w:szCs w:val="24"/>
              </w:rPr>
              <w:t>.</w:t>
            </w:r>
          </w:p>
          <w:p w14:paraId="7CD85FB4" w14:textId="28463D96" w:rsidR="001E1D4F" w:rsidRPr="004244B6" w:rsidRDefault="001E1D4F" w:rsidP="004244B6">
            <w:pPr>
              <w:pStyle w:val="Corpsdetexte"/>
              <w:rPr>
                <w:i/>
                <w:color w:val="FF0000"/>
                <w:sz w:val="24"/>
                <w:szCs w:val="24"/>
              </w:rPr>
            </w:pPr>
            <w:r w:rsidRPr="004244B6">
              <w:rPr>
                <w:sz w:val="24"/>
                <w:szCs w:val="24"/>
              </w:rPr>
              <w:t xml:space="preserve">11. </w:t>
            </w:r>
            <w:r w:rsidR="00CA0002" w:rsidRPr="004244B6">
              <w:rPr>
                <w:sz w:val="24"/>
                <w:szCs w:val="24"/>
              </w:rPr>
              <w:t>« Le Pacte scolaire</w:t>
            </w:r>
            <w:r w:rsidR="00F03E1C" w:rsidRPr="004244B6">
              <w:rPr>
                <w:sz w:val="24"/>
                <w:szCs w:val="24"/>
              </w:rPr>
              <w:t> </w:t>
            </w:r>
            <w:r w:rsidR="00686634" w:rsidRPr="004244B6">
              <w:rPr>
                <w:sz w:val="24"/>
                <w:szCs w:val="24"/>
              </w:rPr>
              <w:t>ou</w:t>
            </w:r>
            <w:r w:rsidR="00CA0002" w:rsidRPr="004244B6">
              <w:rPr>
                <w:sz w:val="24"/>
                <w:szCs w:val="24"/>
              </w:rPr>
              <w:t xml:space="preserve"> la politique compromise</w:t>
            </w:r>
            <w:r w:rsidR="00F03E1C" w:rsidRPr="004244B6">
              <w:rPr>
                <w:sz w:val="24"/>
                <w:szCs w:val="24"/>
              </w:rPr>
              <w:t xml:space="preserve"> </w:t>
            </w:r>
            <w:r w:rsidR="00CA0002" w:rsidRPr="004244B6">
              <w:rPr>
                <w:sz w:val="24"/>
                <w:szCs w:val="24"/>
              </w:rPr>
              <w:t xml:space="preserve">», </w:t>
            </w:r>
            <w:r w:rsidR="00CA0002" w:rsidRPr="0014247C">
              <w:rPr>
                <w:i/>
                <w:sz w:val="24"/>
                <w:szCs w:val="24"/>
              </w:rPr>
              <w:t>La Revue nouvelle</w:t>
            </w:r>
            <w:r w:rsidR="00CA0002" w:rsidRPr="004244B6">
              <w:rPr>
                <w:sz w:val="24"/>
                <w:szCs w:val="24"/>
              </w:rPr>
              <w:t xml:space="preserve">, </w:t>
            </w:r>
            <w:r w:rsidR="00F03E1C" w:rsidRPr="004244B6">
              <w:rPr>
                <w:sz w:val="24"/>
                <w:szCs w:val="24"/>
              </w:rPr>
              <w:t xml:space="preserve">janvier </w:t>
            </w:r>
            <w:r w:rsidR="00114374" w:rsidRPr="004244B6">
              <w:rPr>
                <w:sz w:val="24"/>
                <w:szCs w:val="24"/>
              </w:rPr>
              <w:t xml:space="preserve">2016, </w:t>
            </w:r>
            <w:r w:rsidR="00F03E1C" w:rsidRPr="004244B6">
              <w:rPr>
                <w:sz w:val="24"/>
                <w:szCs w:val="24"/>
              </w:rPr>
              <w:t>p. 45 à 51.</w:t>
            </w:r>
          </w:p>
          <w:p w14:paraId="13DC666B" w14:textId="77777777" w:rsidR="000911AD" w:rsidRPr="00BD1960" w:rsidRDefault="000911AD" w:rsidP="000902A2">
            <w:pPr>
              <w:pStyle w:val="Titre4"/>
              <w:jc w:val="both"/>
              <w:rPr>
                <w:i w:val="0"/>
              </w:rPr>
            </w:pPr>
            <w:r w:rsidRPr="00BD1960">
              <w:rPr>
                <w:i w:val="0"/>
              </w:rPr>
              <w:t xml:space="preserve">10. </w:t>
            </w:r>
            <w:r w:rsidR="00BE0A62">
              <w:rPr>
                <w:i w:val="0"/>
              </w:rPr>
              <w:t>« Une tout autre école</w:t>
            </w:r>
            <w:r w:rsidR="00BD1960" w:rsidRPr="00BD1960">
              <w:rPr>
                <w:i w:val="0"/>
              </w:rPr>
              <w:t xml:space="preserve"> : réinterroger les méthodes pédagogiques », </w:t>
            </w:r>
            <w:r w:rsidRPr="00BD1960">
              <w:t>Politique</w:t>
            </w:r>
            <w:r w:rsidR="00BD1960">
              <w:rPr>
                <w:i w:val="0"/>
              </w:rPr>
              <w:t>, septembre-octobre, 2015</w:t>
            </w:r>
            <w:r w:rsidRPr="00BD1960">
              <w:rPr>
                <w:i w:val="0"/>
              </w:rPr>
              <w:t>.</w:t>
            </w:r>
          </w:p>
          <w:p w14:paraId="0951CB40" w14:textId="77777777" w:rsidR="000911AD" w:rsidRPr="004862B6" w:rsidRDefault="000911AD" w:rsidP="000902A2">
            <w:pPr>
              <w:pStyle w:val="Default"/>
              <w:jc w:val="both"/>
            </w:pPr>
          </w:p>
          <w:p w14:paraId="21EF0874" w14:textId="77777777" w:rsidR="000911AD" w:rsidRPr="004862B6" w:rsidRDefault="000911AD" w:rsidP="000902A2">
            <w:pPr>
              <w:pStyle w:val="Default"/>
              <w:jc w:val="both"/>
              <w:rPr>
                <w:color w:val="auto"/>
              </w:rPr>
            </w:pPr>
            <w:r w:rsidRPr="004862B6">
              <w:rPr>
                <w:color w:val="auto"/>
              </w:rPr>
              <w:t xml:space="preserve">9. </w:t>
            </w:r>
            <w:r w:rsidR="004862B6">
              <w:rPr>
                <w:color w:val="auto"/>
              </w:rPr>
              <w:t xml:space="preserve">« Cours de morale : retour sur l’arrêt de la Cour constitutionnelle par lequel tout a commencé », </w:t>
            </w:r>
            <w:r w:rsidR="004862B6" w:rsidRPr="004862B6">
              <w:rPr>
                <w:color w:val="auto"/>
              </w:rPr>
              <w:t>www.justice-en-ligne.be</w:t>
            </w:r>
            <w:r w:rsidR="004862B6">
              <w:rPr>
                <w:color w:val="auto"/>
              </w:rPr>
              <w:t>, mise en ligne le 13 juillet 2015.</w:t>
            </w:r>
          </w:p>
          <w:p w14:paraId="6A241870" w14:textId="77777777" w:rsidR="000911AD" w:rsidRPr="004862B6" w:rsidRDefault="000911AD" w:rsidP="000902A2">
            <w:pPr>
              <w:pStyle w:val="Default"/>
              <w:jc w:val="both"/>
            </w:pPr>
          </w:p>
          <w:p w14:paraId="05CA79C7" w14:textId="77777777" w:rsidR="000911AD" w:rsidRPr="004862B6" w:rsidRDefault="000911AD" w:rsidP="000902A2">
            <w:pPr>
              <w:pStyle w:val="Default"/>
              <w:jc w:val="both"/>
            </w:pPr>
            <w:r w:rsidRPr="004862B6">
              <w:t xml:space="preserve">8. « La mixité sociale, un enjeu accessoire ? », </w:t>
            </w:r>
            <w:r w:rsidRPr="004862B6">
              <w:rPr>
                <w:i/>
              </w:rPr>
              <w:t>Politique</w:t>
            </w:r>
            <w:r w:rsidRPr="004862B6">
              <w:t>, mars-avril 2014, p. 62 à 65.</w:t>
            </w:r>
          </w:p>
          <w:p w14:paraId="43AE68C9" w14:textId="77777777" w:rsidR="000911AD" w:rsidRPr="004862B6" w:rsidRDefault="000911AD" w:rsidP="000902A2">
            <w:pPr>
              <w:pStyle w:val="Default"/>
              <w:jc w:val="both"/>
            </w:pPr>
          </w:p>
          <w:p w14:paraId="5A6E1CCA" w14:textId="373F8728" w:rsidR="000911AD" w:rsidRPr="004862B6" w:rsidRDefault="000911AD" w:rsidP="0029612E">
            <w:pPr>
              <w:pStyle w:val="Objectifs"/>
            </w:pPr>
            <w:r w:rsidRPr="008E452A">
              <w:rPr>
                <w:sz w:val="24"/>
                <w:szCs w:val="24"/>
              </w:rPr>
              <w:t xml:space="preserve">7. « La gratuité de l’enseignement : une promesse oubliée, un principe juridique bafoué », </w:t>
            </w:r>
            <w:r w:rsidRPr="008E452A">
              <w:rPr>
                <w:i/>
                <w:iCs/>
                <w:sz w:val="24"/>
                <w:szCs w:val="24"/>
              </w:rPr>
              <w:t>Pauvérité</w:t>
            </w:r>
            <w:r w:rsidRPr="008E452A">
              <w:rPr>
                <w:sz w:val="24"/>
                <w:szCs w:val="24"/>
              </w:rPr>
              <w:t xml:space="preserve">, trimestriel du Forum bruxellois de lutte contre la pauvreté, Septembre 2013, p. 5 à 15. </w:t>
            </w:r>
          </w:p>
          <w:p w14:paraId="4D5358C9" w14:textId="77777777" w:rsidR="000911AD" w:rsidRPr="004862B6" w:rsidRDefault="000911AD" w:rsidP="000902A2">
            <w:pPr>
              <w:pStyle w:val="Corpsdetexte"/>
              <w:rPr>
                <w:sz w:val="24"/>
                <w:szCs w:val="24"/>
              </w:rPr>
            </w:pPr>
            <w:r w:rsidRPr="004862B6">
              <w:rPr>
                <w:sz w:val="24"/>
                <w:szCs w:val="24"/>
              </w:rPr>
              <w:t xml:space="preserve">6. « Hautes écoles : les files de l’été », </w:t>
            </w:r>
            <w:r w:rsidRPr="004862B6">
              <w:rPr>
                <w:i/>
                <w:sz w:val="24"/>
                <w:szCs w:val="24"/>
              </w:rPr>
              <w:t>Politique</w:t>
            </w:r>
            <w:r w:rsidRPr="004862B6">
              <w:rPr>
                <w:sz w:val="24"/>
                <w:szCs w:val="24"/>
              </w:rPr>
              <w:t>, novembre-décembre 2012, p. 14 et 15.</w:t>
            </w:r>
          </w:p>
          <w:p w14:paraId="1181E3F9" w14:textId="77777777" w:rsidR="000911AD" w:rsidRPr="004862B6" w:rsidRDefault="000911AD" w:rsidP="000911AD">
            <w:pPr>
              <w:pStyle w:val="Corpsdetexte"/>
              <w:rPr>
                <w:sz w:val="24"/>
                <w:szCs w:val="24"/>
              </w:rPr>
            </w:pPr>
            <w:r w:rsidRPr="004862B6">
              <w:rPr>
                <w:sz w:val="24"/>
                <w:szCs w:val="24"/>
              </w:rPr>
              <w:t xml:space="preserve">5. « Enseignement supérieur : voir par-dessus les pôles », </w:t>
            </w:r>
            <w:r w:rsidRPr="004862B6">
              <w:rPr>
                <w:i/>
                <w:sz w:val="24"/>
                <w:szCs w:val="24"/>
              </w:rPr>
              <w:t>Politique</w:t>
            </w:r>
            <w:r w:rsidRPr="004862B6">
              <w:rPr>
                <w:sz w:val="24"/>
                <w:szCs w:val="24"/>
              </w:rPr>
              <w:t>, novembre-décembre 2011, p. 8 à 11.</w:t>
            </w:r>
          </w:p>
          <w:p w14:paraId="3F138FD7" w14:textId="77777777" w:rsidR="000911AD" w:rsidRPr="004862B6" w:rsidRDefault="000911AD" w:rsidP="000911AD">
            <w:pPr>
              <w:pStyle w:val="Corpsdetexte"/>
              <w:rPr>
                <w:sz w:val="24"/>
                <w:szCs w:val="24"/>
              </w:rPr>
            </w:pPr>
            <w:r w:rsidRPr="004862B6">
              <w:rPr>
                <w:sz w:val="24"/>
                <w:szCs w:val="24"/>
              </w:rPr>
              <w:t xml:space="preserve">4. « Offre scolaire : les obligations juridiques des pouvoirs publics », </w:t>
            </w:r>
            <w:r w:rsidRPr="004862B6">
              <w:rPr>
                <w:i/>
                <w:smallCaps/>
                <w:sz w:val="24"/>
                <w:szCs w:val="24"/>
              </w:rPr>
              <w:t>É</w:t>
            </w:r>
            <w:r w:rsidRPr="004862B6">
              <w:rPr>
                <w:i/>
                <w:sz w:val="24"/>
                <w:szCs w:val="24"/>
              </w:rPr>
              <w:t>duquer – tribune laïque</w:t>
            </w:r>
            <w:r w:rsidRPr="004862B6">
              <w:rPr>
                <w:sz w:val="24"/>
                <w:szCs w:val="24"/>
              </w:rPr>
              <w:t xml:space="preserve">, Ligue de l’enseignement et de l’éducation permanente, n°82, mai 2011, p. 29 à 31. </w:t>
            </w:r>
          </w:p>
          <w:p w14:paraId="6C81F069" w14:textId="77777777" w:rsidR="000911AD" w:rsidRPr="004862B6" w:rsidRDefault="000911AD" w:rsidP="000911AD">
            <w:pPr>
              <w:pStyle w:val="Corpsdetexte"/>
              <w:rPr>
                <w:sz w:val="24"/>
                <w:szCs w:val="24"/>
              </w:rPr>
            </w:pPr>
            <w:r w:rsidRPr="004862B6">
              <w:rPr>
                <w:sz w:val="24"/>
                <w:szCs w:val="24"/>
              </w:rPr>
              <w:t xml:space="preserve">3. « Gouvernement passif, école active », </w:t>
            </w:r>
            <w:r w:rsidRPr="004862B6">
              <w:rPr>
                <w:i/>
                <w:sz w:val="24"/>
                <w:szCs w:val="24"/>
              </w:rPr>
              <w:t>La Revue nouvelle</w:t>
            </w:r>
            <w:r w:rsidRPr="004862B6">
              <w:rPr>
                <w:sz w:val="24"/>
                <w:szCs w:val="24"/>
              </w:rPr>
              <w:t>, avril 2011, p. 6 à 9.</w:t>
            </w:r>
          </w:p>
          <w:p w14:paraId="4FF0ED05" w14:textId="77777777" w:rsidR="000911AD" w:rsidRPr="004862B6" w:rsidRDefault="000911AD" w:rsidP="000911AD">
            <w:pPr>
              <w:pStyle w:val="Corpsdetexte"/>
              <w:rPr>
                <w:sz w:val="24"/>
                <w:szCs w:val="24"/>
              </w:rPr>
            </w:pPr>
            <w:r w:rsidRPr="004862B6">
              <w:rPr>
                <w:sz w:val="24"/>
                <w:szCs w:val="24"/>
              </w:rPr>
              <w:t xml:space="preserve">2. « Fondements et mutations du concept de neutralité de l’État », </w:t>
            </w:r>
            <w:r w:rsidRPr="004862B6">
              <w:rPr>
                <w:i/>
                <w:sz w:val="24"/>
                <w:szCs w:val="24"/>
              </w:rPr>
              <w:t>L’agenda interculturel</w:t>
            </w:r>
            <w:r w:rsidRPr="004862B6">
              <w:rPr>
                <w:sz w:val="24"/>
                <w:szCs w:val="24"/>
              </w:rPr>
              <w:t>, Centre bruxellois de l’action interculturelle, novembre 2010, n°287, p. 4 à 8.</w:t>
            </w:r>
          </w:p>
          <w:p w14:paraId="68C1C2D6" w14:textId="77777777" w:rsidR="000911AD" w:rsidRPr="00961072" w:rsidRDefault="000911AD" w:rsidP="000911AD">
            <w:pPr>
              <w:pStyle w:val="Corpsdetexte"/>
              <w:rPr>
                <w:sz w:val="24"/>
                <w:szCs w:val="24"/>
              </w:rPr>
            </w:pPr>
            <w:r w:rsidRPr="004862B6">
              <w:rPr>
                <w:sz w:val="24"/>
                <w:szCs w:val="24"/>
              </w:rPr>
              <w:lastRenderedPageBreak/>
              <w:t>1. « Port du voile et nécessité d’une intervention législative », www.justice-en-ligne.be, mise en ligne le 14 octobre 2009.</w:t>
            </w:r>
          </w:p>
        </w:tc>
      </w:tr>
      <w:tr w:rsidR="000911AD" w14:paraId="00A485C4" w14:textId="77777777">
        <w:trPr>
          <w:trHeight w:val="709"/>
        </w:trPr>
        <w:tc>
          <w:tcPr>
            <w:tcW w:w="9142" w:type="dxa"/>
            <w:gridSpan w:val="3"/>
            <w:shd w:val="clear" w:color="auto" w:fill="auto"/>
          </w:tcPr>
          <w:p w14:paraId="3591332A" w14:textId="77777777" w:rsidR="000911AD" w:rsidRDefault="000911AD" w:rsidP="000911AD">
            <w:pPr>
              <w:pStyle w:val="Titredesection"/>
              <w:jc w:val="both"/>
            </w:pPr>
            <w:r>
              <w:lastRenderedPageBreak/>
              <w:t>Activités scientifiques, Colloques, journées d’études et Séminaires</w:t>
            </w:r>
          </w:p>
          <w:p w14:paraId="1A21F38A" w14:textId="77777777" w:rsidR="00946FD4" w:rsidRPr="007E1B86" w:rsidRDefault="00946FD4" w:rsidP="00946FD4">
            <w:pPr>
              <w:pStyle w:val="Corpsdetexte"/>
              <w:rPr>
                <w:sz w:val="24"/>
                <w:szCs w:val="24"/>
              </w:rPr>
            </w:pPr>
            <w:r w:rsidRPr="007E1B86">
              <w:rPr>
                <w:sz w:val="24"/>
                <w:szCs w:val="24"/>
              </w:rPr>
              <w:t>Intervention, avec Hugues Dumont, au colloque international « </w:t>
            </w:r>
            <w:r w:rsidRPr="007E1B86">
              <w:rPr>
                <w:bCs/>
                <w:sz w:val="24"/>
                <w:szCs w:val="24"/>
              </w:rPr>
              <w:t>Identités et intégration européenne : le BREXIT en perspective » organisé le 8 juin 2017 à Lyon par la Casa de Velasquez (Madrid)</w:t>
            </w:r>
            <w:r w:rsidRPr="007E1B86">
              <w:rPr>
                <w:sz w:val="24"/>
                <w:szCs w:val="24"/>
              </w:rPr>
              <w:t> et </w:t>
            </w:r>
            <w:r w:rsidRPr="007E1B86">
              <w:rPr>
                <w:bCs/>
                <w:sz w:val="24"/>
                <w:szCs w:val="24"/>
              </w:rPr>
              <w:t xml:space="preserve">l’Université Lyon 3 (EDIEC) sur le thème de la sécession et du fédéralisme. </w:t>
            </w:r>
          </w:p>
          <w:p w14:paraId="1D5BDF8B" w14:textId="4C17518E" w:rsidR="009D72A3" w:rsidRPr="00C92C34" w:rsidRDefault="00C92C34" w:rsidP="000911AD">
            <w:pPr>
              <w:pStyle w:val="Corpsdetexte"/>
              <w:rPr>
                <w:sz w:val="24"/>
                <w:szCs w:val="24"/>
              </w:rPr>
            </w:pPr>
            <w:r w:rsidRPr="00C92C34">
              <w:rPr>
                <w:sz w:val="24"/>
                <w:szCs w:val="24"/>
              </w:rPr>
              <w:t>Intervention le 13 septembre 2016 au séminaire de formation des agents des assemblées parlementaires organisé par le Parlement de la Communauté française, l’ULB, l’Université Saint-Louis et l’Assemblée parlementaire de la francophonie</w:t>
            </w:r>
            <w:r w:rsidR="004244B6">
              <w:rPr>
                <w:sz w:val="24"/>
                <w:szCs w:val="24"/>
              </w:rPr>
              <w:t>. Communication intitulée « </w:t>
            </w:r>
            <w:r w:rsidR="004244B6" w:rsidRPr="004244B6">
              <w:rPr>
                <w:sz w:val="24"/>
                <w:szCs w:val="24"/>
              </w:rPr>
              <w:t>Le processus d'élaboration de la norme et les fonctions de la délibération parlementaire</w:t>
            </w:r>
            <w:r w:rsidR="004244B6">
              <w:rPr>
                <w:sz w:val="24"/>
                <w:szCs w:val="24"/>
              </w:rPr>
              <w:t> ».</w:t>
            </w:r>
          </w:p>
          <w:p w14:paraId="32A09838" w14:textId="3B456DAD" w:rsidR="003F3F9D" w:rsidRPr="000901B2" w:rsidRDefault="00E462CB" w:rsidP="000911AD">
            <w:pPr>
              <w:pStyle w:val="Corpsdetexte"/>
              <w:rPr>
                <w:sz w:val="24"/>
                <w:szCs w:val="24"/>
              </w:rPr>
            </w:pPr>
            <w:r w:rsidRPr="000901B2">
              <w:rPr>
                <w:sz w:val="24"/>
                <w:szCs w:val="24"/>
              </w:rPr>
              <w:t>Intervention au colloque belgo-tunisien des</w:t>
            </w:r>
            <w:r w:rsidR="003F3F9D" w:rsidRPr="000901B2">
              <w:rPr>
                <w:sz w:val="24"/>
                <w:szCs w:val="24"/>
              </w:rPr>
              <w:t xml:space="preserve"> 28 et 29 avril 2016</w:t>
            </w:r>
            <w:r w:rsidRPr="000901B2">
              <w:rPr>
                <w:sz w:val="24"/>
                <w:szCs w:val="24"/>
              </w:rPr>
              <w:t xml:space="preserve"> « L’art de gouverner par compromis : vers une construction sociale et politique de figures de compromis ? » organisé à Tunis par la Revue nouvelle, l’Association des démocrates tunisiens au Benelux,  le Centre arabe des recherches et études politiques et le Forum El Jahed. Communication intitulée « Le pacte scolaire ou la pilarisation de l’enseignement hier et aujourd’hui ». </w:t>
            </w:r>
          </w:p>
          <w:p w14:paraId="55FC6C37" w14:textId="2948B098" w:rsidR="005F03C8" w:rsidRPr="0014247C" w:rsidRDefault="0094517B" w:rsidP="000911AD">
            <w:pPr>
              <w:pStyle w:val="Corpsdetexte"/>
              <w:rPr>
                <w:sz w:val="24"/>
                <w:szCs w:val="24"/>
              </w:rPr>
            </w:pPr>
            <w:r w:rsidRPr="0014247C">
              <w:rPr>
                <w:sz w:val="24"/>
                <w:szCs w:val="24"/>
              </w:rPr>
              <w:t>Répondant</w:t>
            </w:r>
            <w:r w:rsidR="00EE199A" w:rsidRPr="0014247C">
              <w:rPr>
                <w:sz w:val="24"/>
                <w:szCs w:val="24"/>
              </w:rPr>
              <w:t xml:space="preserve"> de la conférence du 10 décembre 2015 « L’ombre du (con)fédéralisme en </w:t>
            </w:r>
            <w:r w:rsidR="00343C96" w:rsidRPr="0014247C">
              <w:rPr>
                <w:sz w:val="24"/>
                <w:szCs w:val="24"/>
              </w:rPr>
              <w:t>Belgique :</w:t>
            </w:r>
            <w:r w:rsidR="00343C96" w:rsidRPr="0014247C">
              <w:rPr>
                <w:i/>
                <w:iCs/>
                <w:sz w:val="24"/>
                <w:szCs w:val="24"/>
              </w:rPr>
              <w:t xml:space="preserve"> </w:t>
            </w:r>
            <w:r w:rsidR="00343C96" w:rsidRPr="0014247C">
              <w:rPr>
                <w:iCs/>
                <w:sz w:val="24"/>
                <w:szCs w:val="24"/>
              </w:rPr>
              <w:t>menace ou espoir pour les identités plurielles</w:t>
            </w:r>
            <w:r w:rsidR="00343C96" w:rsidRPr="0014247C">
              <w:rPr>
                <w:i/>
                <w:iCs/>
                <w:sz w:val="24"/>
                <w:szCs w:val="24"/>
              </w:rPr>
              <w:t xml:space="preserve"> </w:t>
            </w:r>
            <w:r w:rsidR="00343C96" w:rsidRPr="0014247C">
              <w:rPr>
                <w:iCs/>
                <w:sz w:val="24"/>
                <w:szCs w:val="24"/>
              </w:rPr>
              <w:t>?</w:t>
            </w:r>
            <w:r w:rsidR="00EE199A" w:rsidRPr="0014247C">
              <w:rPr>
                <w:sz w:val="24"/>
                <w:szCs w:val="24"/>
              </w:rPr>
              <w:t> » donnée par Johanne Poirier à l’Université de Montréal</w:t>
            </w:r>
            <w:r w:rsidR="00D8664E" w:rsidRPr="0014247C">
              <w:rPr>
                <w:sz w:val="24"/>
                <w:szCs w:val="24"/>
              </w:rPr>
              <w:t xml:space="preserve"> dans le cadre du </w:t>
            </w:r>
            <w:r w:rsidR="00D8664E" w:rsidRPr="0014247C">
              <w:rPr>
                <w:rStyle w:val="4n-j"/>
                <w:sz w:val="24"/>
                <w:szCs w:val="24"/>
              </w:rPr>
              <w:t xml:space="preserve">cycle de conférences « Diversité et Démocratie » du </w:t>
            </w:r>
            <w:r w:rsidR="00D8664E" w:rsidRPr="0014247C">
              <w:rPr>
                <w:sz w:val="24"/>
                <w:szCs w:val="24"/>
              </w:rPr>
              <w:t>Centre de recherche interdisciplinaire sur la diversité et la démocratie (CRIDAQ)</w:t>
            </w:r>
            <w:r w:rsidR="00D8664E" w:rsidRPr="0014247C">
              <w:rPr>
                <w:rStyle w:val="4n-j"/>
                <w:sz w:val="24"/>
                <w:szCs w:val="24"/>
              </w:rPr>
              <w:t>.</w:t>
            </w:r>
          </w:p>
          <w:p w14:paraId="4FD06BF2" w14:textId="07D9024B" w:rsidR="00C92868" w:rsidRPr="00B85906" w:rsidRDefault="00731C3F" w:rsidP="000911AD">
            <w:pPr>
              <w:pStyle w:val="Corpsdetexte"/>
              <w:rPr>
                <w:sz w:val="24"/>
                <w:szCs w:val="24"/>
              </w:rPr>
            </w:pPr>
            <w:r w:rsidRPr="00B85906">
              <w:rPr>
                <w:sz w:val="24"/>
                <w:szCs w:val="24"/>
              </w:rPr>
              <w:t>Conférence donnée avec Xavier Delgrange le 8 décembre 2015 à l’Université de Sherbrooke</w:t>
            </w:r>
            <w:r w:rsidR="00C92868" w:rsidRPr="00B85906">
              <w:rPr>
                <w:sz w:val="24"/>
                <w:szCs w:val="24"/>
              </w:rPr>
              <w:t xml:space="preserve"> </w:t>
            </w:r>
            <w:r w:rsidRPr="00B85906">
              <w:rPr>
                <w:sz w:val="24"/>
                <w:szCs w:val="24"/>
              </w:rPr>
              <w:t xml:space="preserve">sur le </w:t>
            </w:r>
            <w:r w:rsidRPr="0014247C">
              <w:rPr>
                <w:sz w:val="24"/>
                <w:szCs w:val="24"/>
              </w:rPr>
              <w:t>thème « Religion, morale, philosophie, citoyenneté : l’école belge face à ses démons »</w:t>
            </w:r>
            <w:r w:rsidR="00EC1F71" w:rsidRPr="0014247C">
              <w:rPr>
                <w:sz w:val="24"/>
                <w:szCs w:val="24"/>
              </w:rPr>
              <w:t xml:space="preserve"> dans le cadre d’un séminaire organisé par le Centre de recherche Société, Droit et Religions de l'Université de Sherbrooke (SoDRUS)</w:t>
            </w:r>
            <w:r w:rsidRPr="0014247C">
              <w:rPr>
                <w:sz w:val="24"/>
                <w:szCs w:val="24"/>
              </w:rPr>
              <w:t>.</w:t>
            </w:r>
            <w:r w:rsidRPr="00B85906">
              <w:rPr>
                <w:sz w:val="24"/>
                <w:szCs w:val="24"/>
              </w:rPr>
              <w:t xml:space="preserve"> </w:t>
            </w:r>
          </w:p>
          <w:p w14:paraId="09CA0752" w14:textId="77777777" w:rsidR="005F03C8" w:rsidRPr="006D33BC" w:rsidRDefault="006D33BC" w:rsidP="000911AD">
            <w:pPr>
              <w:pStyle w:val="Corpsdetexte"/>
              <w:rPr>
                <w:sz w:val="24"/>
                <w:szCs w:val="24"/>
              </w:rPr>
            </w:pPr>
            <w:r w:rsidRPr="006D33BC">
              <w:rPr>
                <w:sz w:val="24"/>
                <w:szCs w:val="24"/>
              </w:rPr>
              <w:t xml:space="preserve">Intervention, avec Hugues Dumont, au colloque international des </w:t>
            </w:r>
            <w:r w:rsidR="005F03C8" w:rsidRPr="006D33BC">
              <w:rPr>
                <w:sz w:val="24"/>
                <w:szCs w:val="24"/>
              </w:rPr>
              <w:t>3 et 4 décembre 2015</w:t>
            </w:r>
            <w:r w:rsidRPr="006D33BC">
              <w:rPr>
                <w:sz w:val="24"/>
                <w:szCs w:val="24"/>
              </w:rPr>
              <w:t xml:space="preserve"> « Constitutionalisme, droit</w:t>
            </w:r>
            <w:r w:rsidR="00CB362A">
              <w:rPr>
                <w:sz w:val="24"/>
                <w:szCs w:val="24"/>
              </w:rPr>
              <w:t>s</w:t>
            </w:r>
            <w:r w:rsidRPr="006D33BC">
              <w:rPr>
                <w:sz w:val="24"/>
                <w:szCs w:val="24"/>
              </w:rPr>
              <w:t xml:space="preserve"> et diversité » organisé </w:t>
            </w:r>
            <w:r>
              <w:rPr>
                <w:sz w:val="24"/>
                <w:szCs w:val="24"/>
              </w:rPr>
              <w:t xml:space="preserve">en l’honneur du professeur José Woerhling </w:t>
            </w:r>
            <w:r w:rsidRPr="006D33BC">
              <w:rPr>
                <w:sz w:val="24"/>
                <w:szCs w:val="24"/>
              </w:rPr>
              <w:t xml:space="preserve">par le Groupe de recherche sur les sociétés plurinationales (GRSP) dans les locaux de l’Université de Montréal et de l’Université du Québec à Montréal. Communication intitulée « Les nations infra-étatiques et la reconnaissance juridique du droit de sécession </w:t>
            </w:r>
            <w:r w:rsidRPr="006D33BC">
              <w:rPr>
                <w:rFonts w:cs="Arial"/>
                <w:sz w:val="24"/>
                <w:szCs w:val="24"/>
                <w:lang w:eastAsia="fr-BE"/>
              </w:rPr>
              <w:t>».</w:t>
            </w:r>
          </w:p>
          <w:p w14:paraId="2687978D" w14:textId="77777777" w:rsidR="008D1AA1" w:rsidRDefault="00F339F9" w:rsidP="008D1AA1">
            <w:pPr>
              <w:rPr>
                <w:rFonts w:cs="Arial"/>
                <w:sz w:val="24"/>
                <w:szCs w:val="24"/>
                <w:lang w:eastAsia="fr-BE"/>
              </w:rPr>
            </w:pPr>
            <w:r w:rsidRPr="00F339F9">
              <w:rPr>
                <w:sz w:val="24"/>
                <w:szCs w:val="24"/>
              </w:rPr>
              <w:t>Intervention</w:t>
            </w:r>
            <w:r w:rsidR="00DE38AF">
              <w:rPr>
                <w:sz w:val="24"/>
                <w:szCs w:val="24"/>
              </w:rPr>
              <w:t>, avec Hugues Dumont,</w:t>
            </w:r>
            <w:r w:rsidRPr="00F339F9">
              <w:rPr>
                <w:sz w:val="24"/>
                <w:szCs w:val="24"/>
              </w:rPr>
              <w:t xml:space="preserve"> au colloque international des 29 et 30 octobre 2015 « La démocratie référendaire dans les États plurinationaux » organisé par le Centre de recherche interdisciplinaire sur la diversité et la démocratie (CRIDAQ) </w:t>
            </w:r>
            <w:r w:rsidR="008D1AA1">
              <w:rPr>
                <w:sz w:val="24"/>
                <w:szCs w:val="24"/>
              </w:rPr>
              <w:t>dans les locaux de</w:t>
            </w:r>
            <w:r w:rsidRPr="00F339F9">
              <w:rPr>
                <w:sz w:val="24"/>
                <w:szCs w:val="24"/>
              </w:rPr>
              <w:t xml:space="preserve"> l’Université Laval à Québec. Communication intitulée « </w:t>
            </w:r>
            <w:r w:rsidRPr="00F339F9">
              <w:rPr>
                <w:rFonts w:cs="Arial"/>
                <w:sz w:val="24"/>
                <w:szCs w:val="24"/>
                <w:lang w:eastAsia="fr-BE"/>
              </w:rPr>
              <w:t>La démocratie directe dans un État multinational : les questions à résoudre si l’on voulait organiser un référendum constituant en Belgique »</w:t>
            </w:r>
            <w:r>
              <w:rPr>
                <w:rFonts w:cs="Arial"/>
                <w:sz w:val="24"/>
                <w:szCs w:val="24"/>
                <w:lang w:eastAsia="fr-BE"/>
              </w:rPr>
              <w:t>.</w:t>
            </w:r>
          </w:p>
          <w:p w14:paraId="3ACDCFFE" w14:textId="77777777" w:rsidR="008D1AA1" w:rsidRDefault="008D1AA1" w:rsidP="008D1AA1">
            <w:pPr>
              <w:rPr>
                <w:rFonts w:cs="Arial"/>
                <w:sz w:val="24"/>
                <w:szCs w:val="24"/>
                <w:lang w:eastAsia="fr-BE"/>
              </w:rPr>
            </w:pPr>
          </w:p>
          <w:p w14:paraId="04B11FF7" w14:textId="77777777" w:rsidR="000911AD" w:rsidRDefault="000911AD" w:rsidP="008D1AA1">
            <w:pPr>
              <w:rPr>
                <w:sz w:val="24"/>
                <w:szCs w:val="24"/>
              </w:rPr>
            </w:pPr>
            <w:r w:rsidRPr="00620D7D">
              <w:rPr>
                <w:sz w:val="24"/>
                <w:szCs w:val="24"/>
              </w:rPr>
              <w:t xml:space="preserve">Audition par la commission </w:t>
            </w:r>
            <w:r>
              <w:rPr>
                <w:sz w:val="24"/>
                <w:szCs w:val="24"/>
              </w:rPr>
              <w:t>de l’É</w:t>
            </w:r>
            <w:r w:rsidRPr="00620D7D">
              <w:rPr>
                <w:sz w:val="24"/>
                <w:szCs w:val="24"/>
              </w:rPr>
              <w:t xml:space="preserve">ducation du Parlement de la Communauté française le 26 mai 2015 sur le thème du cadre constitutionnel </w:t>
            </w:r>
            <w:r w:rsidR="00FC21C4">
              <w:rPr>
                <w:sz w:val="24"/>
                <w:szCs w:val="24"/>
              </w:rPr>
              <w:t xml:space="preserve">de </w:t>
            </w:r>
            <w:r w:rsidRPr="00620D7D">
              <w:rPr>
                <w:sz w:val="24"/>
                <w:szCs w:val="24"/>
              </w:rPr>
              <w:t>l’obligation scolaire en Belgique et des possibilités juridiques pour la Communauté française d’encourager la fréquentation scolaire avant six ans.</w:t>
            </w:r>
          </w:p>
          <w:p w14:paraId="1A23EE4C" w14:textId="77777777" w:rsidR="008D1AA1" w:rsidRPr="008D1AA1" w:rsidRDefault="008D1AA1" w:rsidP="008D1AA1">
            <w:pPr>
              <w:rPr>
                <w:rFonts w:cs="Arial"/>
                <w:sz w:val="24"/>
                <w:szCs w:val="24"/>
                <w:lang w:eastAsia="fr-BE"/>
              </w:rPr>
            </w:pPr>
          </w:p>
          <w:p w14:paraId="6F79897C" w14:textId="77777777" w:rsidR="000911AD" w:rsidRPr="008356F1" w:rsidRDefault="00735376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</w:t>
            </w:r>
            <w:r w:rsidR="00F339F9">
              <w:rPr>
                <w:sz w:val="24"/>
                <w:szCs w:val="24"/>
              </w:rPr>
              <w:t xml:space="preserve"> au colloque des 21 et 22 mai 2015</w:t>
            </w:r>
            <w:r w:rsidR="000911AD" w:rsidRPr="008356F1">
              <w:rPr>
                <w:sz w:val="24"/>
                <w:szCs w:val="24"/>
              </w:rPr>
              <w:t> « La transmission du pouvoir monarchique du moyen</w:t>
            </w:r>
            <w:r w:rsidR="000911AD">
              <w:rPr>
                <w:sz w:val="24"/>
                <w:szCs w:val="24"/>
              </w:rPr>
              <w:t>-</w:t>
            </w:r>
            <w:r w:rsidR="000911AD" w:rsidRPr="008356F1">
              <w:rPr>
                <w:sz w:val="24"/>
                <w:szCs w:val="24"/>
              </w:rPr>
              <w:t>âge à nos jours » organisé par le Centre de recherche en histoi</w:t>
            </w:r>
            <w:r>
              <w:rPr>
                <w:sz w:val="24"/>
                <w:szCs w:val="24"/>
              </w:rPr>
              <w:t>re du droit et des institutions</w:t>
            </w:r>
            <w:r w:rsidR="003B06EE">
              <w:rPr>
                <w:sz w:val="24"/>
                <w:szCs w:val="24"/>
              </w:rPr>
              <w:t xml:space="preserve"> (CRHIDI)</w:t>
            </w:r>
            <w:r>
              <w:rPr>
                <w:sz w:val="24"/>
                <w:szCs w:val="24"/>
              </w:rPr>
              <w:t xml:space="preserve">. Communication intitulée </w:t>
            </w:r>
            <w:r w:rsidR="000911AD" w:rsidRPr="008356F1">
              <w:rPr>
                <w:sz w:val="24"/>
                <w:szCs w:val="24"/>
              </w:rPr>
              <w:t xml:space="preserve">« Les droits et devoirs de l’héritier du trône de </w:t>
            </w:r>
            <w:r w:rsidR="000911AD" w:rsidRPr="008356F1">
              <w:rPr>
                <w:sz w:val="24"/>
                <w:szCs w:val="24"/>
              </w:rPr>
              <w:lastRenderedPageBreak/>
              <w:t>Belgique ».</w:t>
            </w:r>
          </w:p>
          <w:p w14:paraId="249C5CE0" w14:textId="3ED2C385" w:rsidR="000911AD" w:rsidRDefault="000911AD" w:rsidP="000911AD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</w:t>
            </w:r>
            <w:r w:rsidR="00AE15D5">
              <w:rPr>
                <w:sz w:val="24"/>
                <w:szCs w:val="24"/>
              </w:rPr>
              <w:t xml:space="preserve"> le</w:t>
            </w:r>
            <w:r>
              <w:rPr>
                <w:sz w:val="24"/>
                <w:szCs w:val="24"/>
              </w:rPr>
              <w:t xml:space="preserve"> 4 mars 2015, avec Hugues Dumont, au séminaire organisé par les professeurs F.</w:t>
            </w:r>
            <w:r w:rsidR="005437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Bouhon et G. Grandjean dans le cadre de la Chaire Constant 2015 de l’Université de Liège autour de la question « Le droit permet-il le conflit en démocratie ? ». </w:t>
            </w:r>
          </w:p>
          <w:p w14:paraId="1DA3B68C" w14:textId="1FF23749" w:rsidR="000911AD" w:rsidRDefault="000911AD" w:rsidP="000911AD">
            <w:pPr>
              <w:pStyle w:val="Corpsdetexte"/>
              <w:rPr>
                <w:sz w:val="24"/>
                <w:szCs w:val="24"/>
              </w:rPr>
            </w:pPr>
            <w:r w:rsidRPr="00E52354">
              <w:rPr>
                <w:sz w:val="24"/>
                <w:szCs w:val="24"/>
              </w:rPr>
              <w:t>Intervention le 24 février 2015 dans un séminaire sur « Bruxelles et la complexité institutionnelle :</w:t>
            </w:r>
            <w:r w:rsidR="00D8664E">
              <w:rPr>
                <w:sz w:val="24"/>
                <w:szCs w:val="24"/>
              </w:rPr>
              <w:t> </w:t>
            </w:r>
            <w:r w:rsidRPr="00E52354">
              <w:rPr>
                <w:sz w:val="24"/>
                <w:szCs w:val="24"/>
              </w:rPr>
              <w:t>la 6</w:t>
            </w:r>
            <w:r w:rsidRPr="00E52354">
              <w:rPr>
                <w:sz w:val="24"/>
                <w:szCs w:val="24"/>
                <w:vertAlign w:val="superscript"/>
              </w:rPr>
              <w:t>ème</w:t>
            </w:r>
            <w:r w:rsidR="00257663">
              <w:rPr>
                <w:sz w:val="24"/>
                <w:szCs w:val="24"/>
              </w:rPr>
              <w:t xml:space="preserve"> réforme de l’É</w:t>
            </w:r>
            <w:r w:rsidRPr="00E52354">
              <w:rPr>
                <w:sz w:val="24"/>
                <w:szCs w:val="24"/>
              </w:rPr>
              <w:t xml:space="preserve">tat et la gouvernance » organisé par l’Agence de développement territorial et </w:t>
            </w:r>
            <w:r w:rsidRPr="00442CBA">
              <w:rPr>
                <w:i/>
                <w:sz w:val="24"/>
                <w:szCs w:val="24"/>
              </w:rPr>
              <w:t>Brussels Academy</w:t>
            </w:r>
            <w:r w:rsidRPr="00E52354">
              <w:rPr>
                <w:sz w:val="24"/>
                <w:szCs w:val="24"/>
              </w:rPr>
              <w:t xml:space="preserve"> sur le thème de l’avenir </w:t>
            </w:r>
            <w:r w:rsidR="00E37E55">
              <w:rPr>
                <w:sz w:val="24"/>
                <w:szCs w:val="24"/>
              </w:rPr>
              <w:t>de l’exercice des</w:t>
            </w:r>
            <w:r w:rsidRPr="00E52354">
              <w:rPr>
                <w:sz w:val="24"/>
                <w:szCs w:val="24"/>
              </w:rPr>
              <w:t xml:space="preserve"> compétences communautaires à Bruxelles.</w:t>
            </w:r>
          </w:p>
          <w:p w14:paraId="55D360AE" w14:textId="77777777" w:rsidR="008F7250" w:rsidRPr="007136D4" w:rsidRDefault="008F7250" w:rsidP="008F7250">
            <w:pPr>
              <w:pStyle w:val="Corpsdetexte"/>
              <w:rPr>
                <w:sz w:val="24"/>
                <w:szCs w:val="24"/>
              </w:rPr>
            </w:pPr>
            <w:r w:rsidRPr="007136D4">
              <w:rPr>
                <w:sz w:val="24"/>
                <w:szCs w:val="24"/>
              </w:rPr>
              <w:t xml:space="preserve">Intervention le 29 novembre 2014 au colloque de la Ligue de l’enseignement et de l’éducation permanente </w:t>
            </w:r>
            <w:r w:rsidRPr="007136D4">
              <w:rPr>
                <w:rFonts w:cs="Lucida Sans Unicode"/>
                <w:sz w:val="24"/>
                <w:szCs w:val="24"/>
              </w:rPr>
              <w:t xml:space="preserve">« </w:t>
            </w:r>
            <w:r w:rsidRPr="007136D4">
              <w:rPr>
                <w:rStyle w:val="il"/>
                <w:rFonts w:cs="Lucida Sans Unicode"/>
                <w:sz w:val="24"/>
                <w:szCs w:val="24"/>
              </w:rPr>
              <w:t>2014</w:t>
            </w:r>
            <w:r w:rsidRPr="007136D4">
              <w:rPr>
                <w:rFonts w:cs="Lucida Sans Unicode"/>
                <w:sz w:val="24"/>
                <w:szCs w:val="24"/>
              </w:rPr>
              <w:t xml:space="preserve"> : 150 ans d’existence de la Ligue de l’Enseignement – 55 ans de pratique du Pacte scolaire » sur le thème « La dualité école libre/école officielle. Quelles évolutions depuis 150 ans ? ».</w:t>
            </w:r>
          </w:p>
          <w:p w14:paraId="1ECD5023" w14:textId="77777777" w:rsidR="008F7250" w:rsidRPr="00FB7BC0" w:rsidRDefault="008F7250" w:rsidP="008F7250">
            <w:pPr>
              <w:pStyle w:val="Corpsdetexte"/>
              <w:rPr>
                <w:sz w:val="24"/>
                <w:szCs w:val="24"/>
              </w:rPr>
            </w:pPr>
            <w:r w:rsidRPr="00FB7BC0">
              <w:rPr>
                <w:sz w:val="24"/>
                <w:szCs w:val="24"/>
              </w:rPr>
              <w:t>Intervention le 28 octobre 2014, avec Xavier Delgrange, au séminaire de l’Institut de recherche interdisciplinaire sur Bruxelles (IRIB) sur le thème « Le découpage des compétences communautaires et régionales : le nœud gordien bruxellois ».</w:t>
            </w:r>
          </w:p>
          <w:p w14:paraId="3ACCC9F9" w14:textId="77777777" w:rsidR="008F7250" w:rsidRPr="00620D56" w:rsidRDefault="008F7250" w:rsidP="008F7250">
            <w:pPr>
              <w:pStyle w:val="Corpsdetexte"/>
              <w:rPr>
                <w:sz w:val="24"/>
                <w:szCs w:val="24"/>
              </w:rPr>
            </w:pPr>
            <w:r w:rsidRPr="00620D56">
              <w:rPr>
                <w:sz w:val="24"/>
                <w:szCs w:val="24"/>
              </w:rPr>
              <w:t>Intervention au colloque « L’enseignement et le droit » organisé le 26 avril 2013 par le jeune barreau de Liège sur le thème de la liberté de circulation des étudiants.</w:t>
            </w:r>
          </w:p>
          <w:p w14:paraId="16F3EDA2" w14:textId="77777777" w:rsidR="008F7250" w:rsidRDefault="008F7250" w:rsidP="008F7250">
            <w:pPr>
              <w:pStyle w:val="Corpsdetexte"/>
              <w:rPr>
                <w:sz w:val="24"/>
                <w:szCs w:val="24"/>
              </w:rPr>
            </w:pPr>
            <w:r w:rsidRPr="004E215D">
              <w:rPr>
                <w:sz w:val="24"/>
                <w:szCs w:val="24"/>
              </w:rPr>
              <w:t>Intervention</w:t>
            </w:r>
            <w:r>
              <w:rPr>
                <w:sz w:val="24"/>
                <w:szCs w:val="24"/>
              </w:rPr>
              <w:t xml:space="preserve"> à plusieurs « midis du CIRC ».</w:t>
            </w:r>
          </w:p>
          <w:p w14:paraId="5AAA9E31" w14:textId="77777777" w:rsidR="000911AD" w:rsidRPr="00B647C4" w:rsidRDefault="000911AD" w:rsidP="00D27811">
            <w:pPr>
              <w:pStyle w:val="Titredesection"/>
              <w:pBdr>
                <w:bottom w:val="single" w:sz="6" w:space="0" w:color="808080"/>
              </w:pBdr>
              <w:spacing w:before="0"/>
              <w:jc w:val="both"/>
            </w:pPr>
            <w:r>
              <w:t>Divers</w:t>
            </w:r>
          </w:p>
          <w:p w14:paraId="32C8BDF0" w14:textId="5525AB0C" w:rsidR="008F7250" w:rsidRDefault="000911AD" w:rsidP="008F7250">
            <w:pPr>
              <w:pStyle w:val="Corpsdetex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="00532565">
              <w:rPr>
                <w:sz w:val="24"/>
                <w:szCs w:val="24"/>
              </w:rPr>
              <w:t>-2017</w:t>
            </w:r>
            <w:r>
              <w:rPr>
                <w:sz w:val="24"/>
                <w:szCs w:val="24"/>
              </w:rPr>
              <w:t xml:space="preserve"> : conseiller communal </w:t>
            </w:r>
            <w:r w:rsidR="00700647">
              <w:rPr>
                <w:sz w:val="24"/>
                <w:szCs w:val="24"/>
              </w:rPr>
              <w:t>d’</w:t>
            </w:r>
            <w:r>
              <w:rPr>
                <w:sz w:val="24"/>
                <w:szCs w:val="24"/>
              </w:rPr>
              <w:t>Ixelles.</w:t>
            </w:r>
          </w:p>
          <w:p w14:paraId="79D8DAB0" w14:textId="753719CF" w:rsidR="00E05FDD" w:rsidRDefault="00E05FDD" w:rsidP="00DC50A1">
            <w:pPr>
              <w:pStyle w:val="Retrait1religne"/>
              <w:spacing w:after="220"/>
              <w:ind w:firstLine="0"/>
              <w:rPr>
                <w:sz w:val="24"/>
                <w:szCs w:val="24"/>
              </w:rPr>
            </w:pPr>
            <w:r w:rsidRPr="00401DB7">
              <w:rPr>
                <w:sz w:val="24"/>
                <w:szCs w:val="24"/>
              </w:rPr>
              <w:t>2015-2016 : présiden</w:t>
            </w:r>
            <w:r w:rsidR="0002665E">
              <w:rPr>
                <w:sz w:val="24"/>
                <w:szCs w:val="24"/>
              </w:rPr>
              <w:t>t</w:t>
            </w:r>
            <w:r w:rsidRPr="00401DB7">
              <w:rPr>
                <w:sz w:val="24"/>
                <w:szCs w:val="24"/>
              </w:rPr>
              <w:t xml:space="preserve"> du groupe de travail «</w:t>
            </w:r>
            <w:r w:rsidR="006638F8" w:rsidRPr="00401DB7">
              <w:rPr>
                <w:sz w:val="24"/>
                <w:szCs w:val="24"/>
              </w:rPr>
              <w:t xml:space="preserve"> réduire les</w:t>
            </w:r>
            <w:r w:rsidRPr="00401DB7">
              <w:rPr>
                <w:sz w:val="24"/>
                <w:szCs w:val="24"/>
              </w:rPr>
              <w:t xml:space="preserve"> inégalités scolaires » du Pacte </w:t>
            </w:r>
            <w:r w:rsidR="002C4BCC" w:rsidRPr="00401DB7">
              <w:rPr>
                <w:sz w:val="24"/>
                <w:szCs w:val="24"/>
              </w:rPr>
              <w:t>pour un enseignement d’</w:t>
            </w:r>
            <w:r w:rsidRPr="00401DB7">
              <w:rPr>
                <w:sz w:val="24"/>
                <w:szCs w:val="24"/>
              </w:rPr>
              <w:t>excellence</w:t>
            </w:r>
            <w:r w:rsidR="008C6C0B" w:rsidRPr="00401DB7">
              <w:rPr>
                <w:sz w:val="24"/>
                <w:szCs w:val="24"/>
              </w:rPr>
              <w:t xml:space="preserve"> initié par </w:t>
            </w:r>
            <w:r w:rsidR="0095132B">
              <w:rPr>
                <w:sz w:val="24"/>
                <w:szCs w:val="24"/>
              </w:rPr>
              <w:t>Joëlle Milquet,</w:t>
            </w:r>
            <w:r w:rsidR="008C6C0B" w:rsidRPr="00401DB7">
              <w:rPr>
                <w:sz w:val="24"/>
                <w:szCs w:val="24"/>
              </w:rPr>
              <w:t xml:space="preserve"> ministre de l’Education de la Communauté française</w:t>
            </w:r>
            <w:r w:rsidRPr="00401DB7">
              <w:rPr>
                <w:sz w:val="24"/>
                <w:szCs w:val="24"/>
              </w:rPr>
              <w:t>.</w:t>
            </w:r>
          </w:p>
          <w:p w14:paraId="228B9662" w14:textId="168FD5BC" w:rsidR="007F068A" w:rsidRPr="00401DB7" w:rsidRDefault="007F068A" w:rsidP="00DC50A1">
            <w:pPr>
              <w:pStyle w:val="Retrait1religne"/>
              <w:spacing w:after="2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2009-2015 : membre du collectif éditorial de la revue « Politique ». </w:t>
            </w:r>
          </w:p>
          <w:p w14:paraId="0F4A79F1" w14:textId="4B72C576" w:rsidR="000911AD" w:rsidRDefault="00F37FB6" w:rsidP="00DC50A1">
            <w:pPr>
              <w:pStyle w:val="Retrait1religne"/>
              <w:spacing w:after="2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2009-2010 : participation à </w:t>
            </w:r>
            <w:r w:rsidR="00DA05FF">
              <w:rPr>
                <w:sz w:val="24"/>
                <w:szCs w:val="24"/>
              </w:rPr>
              <w:t>l’Académie verte organisée par Etopia (centre de recherche en écologie politique).</w:t>
            </w:r>
          </w:p>
          <w:p w14:paraId="3734CA86" w14:textId="77777777" w:rsidR="00CD379D" w:rsidRDefault="00CD379D" w:rsidP="00DC50A1">
            <w:pPr>
              <w:pStyle w:val="Retrait1religne"/>
              <w:spacing w:after="2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2007-2009 : président de la Fédération des étudiant(e)s francophones (FEF).</w:t>
            </w:r>
          </w:p>
          <w:p w14:paraId="7F4A4474" w14:textId="77777777" w:rsidR="000911AD" w:rsidRPr="008D2617" w:rsidRDefault="000911AD" w:rsidP="00DC50A1">
            <w:pPr>
              <w:pStyle w:val="Retrait1religne"/>
              <w:spacing w:after="220"/>
              <w:ind w:firstLine="0"/>
              <w:rPr>
                <w:sz w:val="24"/>
                <w:szCs w:val="24"/>
              </w:rPr>
            </w:pPr>
            <w:r w:rsidRPr="00E95742">
              <w:rPr>
                <w:sz w:val="24"/>
                <w:szCs w:val="24"/>
              </w:rPr>
              <w:t>2006-2008 : membre du kot-à-projet « Oxfam » de Louvain-la-Neuve.</w:t>
            </w:r>
          </w:p>
          <w:p w14:paraId="5F3104CF" w14:textId="35980ABA" w:rsidR="00CD379D" w:rsidRDefault="00CD379D" w:rsidP="00DC50A1">
            <w:pPr>
              <w:pStyle w:val="Retrait1religne"/>
              <w:spacing w:after="2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 : président du conseil de l’Assemblée génération de Louvain (AGL, délégation étudiante de l’UCL).</w:t>
            </w:r>
            <w:r w:rsidR="006A01D5">
              <w:rPr>
                <w:sz w:val="24"/>
                <w:szCs w:val="24"/>
              </w:rPr>
              <w:t xml:space="preserve"> Membre de plusieurs organes de l’Université catholique de Louvain.</w:t>
            </w:r>
          </w:p>
          <w:p w14:paraId="76925DFA" w14:textId="77777777" w:rsidR="003E7F5A" w:rsidRDefault="00CD379D" w:rsidP="00DC50A1">
            <w:pPr>
              <w:pStyle w:val="Retrait1religne"/>
              <w:spacing w:after="2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 : cofondateur du Syndicat des étudiants locataires de Louvain-la-Neuve (Syello).</w:t>
            </w:r>
          </w:p>
          <w:p w14:paraId="682C256C" w14:textId="7B41D08B" w:rsidR="000911AD" w:rsidRPr="005064D4" w:rsidRDefault="00CD379D" w:rsidP="00DC50A1">
            <w:pPr>
              <w:pStyle w:val="Retrait1religne"/>
              <w:spacing w:after="220"/>
              <w:ind w:firstLine="0"/>
            </w:pPr>
            <w:r>
              <w:rPr>
                <w:sz w:val="24"/>
                <w:szCs w:val="24"/>
              </w:rPr>
              <w:t>2004-2005 : président du Centre d’action universitaire Saint-Louis (CAUSL, délégation étudiante des Facultés universitaires Saint-Louis).</w:t>
            </w:r>
            <w:r w:rsidR="006A01D5">
              <w:rPr>
                <w:sz w:val="24"/>
                <w:szCs w:val="24"/>
              </w:rPr>
              <w:t xml:space="preserve"> Membre de plusieurs organes des FUSL</w:t>
            </w:r>
            <w:r w:rsidR="0012298D">
              <w:rPr>
                <w:sz w:val="24"/>
                <w:szCs w:val="24"/>
              </w:rPr>
              <w:t>.</w:t>
            </w:r>
          </w:p>
        </w:tc>
      </w:tr>
    </w:tbl>
    <w:p w14:paraId="42AC6866" w14:textId="77777777" w:rsidR="000911AD" w:rsidRPr="008D2617" w:rsidRDefault="000911AD" w:rsidP="007F068A">
      <w:pPr>
        <w:pStyle w:val="Retrait1religne"/>
        <w:spacing w:after="220"/>
        <w:ind w:firstLine="0"/>
        <w:rPr>
          <w:sz w:val="24"/>
          <w:szCs w:val="24"/>
        </w:rPr>
      </w:pPr>
    </w:p>
    <w:sectPr w:rsidR="000911AD" w:rsidRPr="008D2617" w:rsidSect="000911AD">
      <w:pgSz w:w="11907" w:h="16839"/>
      <w:pgMar w:top="1440" w:right="1627" w:bottom="1440" w:left="164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C6FD5" w14:textId="77777777" w:rsidR="00601D0D" w:rsidRPr="00554E8C" w:rsidRDefault="00601D0D" w:rsidP="000911AD">
      <w:r>
        <w:separator/>
      </w:r>
    </w:p>
  </w:endnote>
  <w:endnote w:type="continuationSeparator" w:id="0">
    <w:p w14:paraId="61ED59D7" w14:textId="77777777" w:rsidR="00601D0D" w:rsidRPr="00554E8C" w:rsidRDefault="00601D0D" w:rsidP="0009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2C8A" w14:textId="77777777" w:rsidR="00601D0D" w:rsidRPr="00554E8C" w:rsidRDefault="00601D0D" w:rsidP="000911AD">
      <w:r>
        <w:separator/>
      </w:r>
    </w:p>
  </w:footnote>
  <w:footnote w:type="continuationSeparator" w:id="0">
    <w:p w14:paraId="70C97E0A" w14:textId="77777777" w:rsidR="00601D0D" w:rsidRPr="00554E8C" w:rsidRDefault="00601D0D" w:rsidP="00091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EF28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114A30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96C24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0FCD26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0D0B8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B06E3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00974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9A5B2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0507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6486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F06A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pStyle w:val="Russite"/>
      <w:lvlText w:val="*"/>
      <w:lvlJc w:val="left"/>
    </w:lvl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422202C"/>
    <w:multiLevelType w:val="hybridMultilevel"/>
    <w:tmpl w:val="C874AF84"/>
    <w:lvl w:ilvl="0" w:tplc="8D462C24">
      <w:start w:val="200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1" w15:restartNumberingAfterBreak="0">
    <w:nsid w:val="769F7CC7"/>
    <w:multiLevelType w:val="hybridMultilevel"/>
    <w:tmpl w:val="31A87EEA"/>
    <w:lvl w:ilvl="0" w:tplc="53A65B98">
      <w:start w:val="200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  <w:lvlOverride w:ilvl="0">
      <w:lvl w:ilvl="0">
        <w:start w:val="1"/>
        <w:numFmt w:val="bullet"/>
        <w:pStyle w:val="Russit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1"/>
    <w:lvlOverride w:ilvl="0">
      <w:lvl w:ilvl="0">
        <w:start w:val="1"/>
        <w:numFmt w:val="bullet"/>
        <w:pStyle w:val="Russite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1"/>
    <w:lvlOverride w:ilvl="0">
      <w:lvl w:ilvl="0">
        <w:start w:val="1"/>
        <w:numFmt w:val="bullet"/>
        <w:pStyle w:val="Russite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1"/>
    <w:lvlOverride w:ilvl="0">
      <w:lvl w:ilvl="0">
        <w:start w:val="1"/>
        <w:numFmt w:val="bullet"/>
        <w:pStyle w:val="Russite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1"/>
    <w:lvlOverride w:ilvl="0">
      <w:lvl w:ilvl="0">
        <w:start w:val="1"/>
        <w:numFmt w:val="bullet"/>
        <w:pStyle w:val="Russite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1"/>
    <w:lvlOverride w:ilvl="0">
      <w:lvl w:ilvl="0">
        <w:start w:val="1"/>
        <w:numFmt w:val="bullet"/>
        <w:pStyle w:val="Russite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1"/>
    <w:lvlOverride w:ilvl="0">
      <w:lvl w:ilvl="0">
        <w:start w:val="1"/>
        <w:numFmt w:val="bullet"/>
        <w:pStyle w:val="Russite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1"/>
    <w:lvlOverride w:ilvl="0">
      <w:lvl w:ilvl="0">
        <w:start w:val="1"/>
        <w:numFmt w:val="bullet"/>
        <w:pStyle w:val="Russite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3"/>
  </w:num>
  <w:num w:numId="21">
    <w:abstractNumId w:val="19"/>
  </w:num>
  <w:num w:numId="22">
    <w:abstractNumId w:val="12"/>
  </w:num>
  <w:num w:numId="23">
    <w:abstractNumId w:val="14"/>
  </w:num>
  <w:num w:numId="24">
    <w:abstractNumId w:val="16"/>
  </w:num>
  <w:num w:numId="25">
    <w:abstractNumId w:val="18"/>
  </w:num>
  <w:num w:numId="26">
    <w:abstractNumId w:val="15"/>
  </w:num>
  <w:num w:numId="27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1"/>
    <w:lvlOverride w:ilvl="0">
      <w:lvl w:ilvl="0">
        <w:start w:val="1"/>
        <w:numFmt w:val="bullet"/>
        <w:pStyle w:val="Russite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1"/>
  </w:num>
  <w:num w:numId="32">
    <w:abstractNumId w:val="11"/>
    <w:lvlOverride w:ilvl="0">
      <w:lvl w:ilvl="0">
        <w:numFmt w:val="bullet"/>
        <w:pStyle w:val="Russit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21"/>
  </w:num>
  <w:num w:numId="34">
    <w:abstractNumId w:val="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w:rsids>
    <w:rsidRoot w:val="00C01288"/>
    <w:rsid w:val="00011353"/>
    <w:rsid w:val="0002108E"/>
    <w:rsid w:val="0002665E"/>
    <w:rsid w:val="00026757"/>
    <w:rsid w:val="00032680"/>
    <w:rsid w:val="0003503C"/>
    <w:rsid w:val="00072075"/>
    <w:rsid w:val="00072DE0"/>
    <w:rsid w:val="000732E2"/>
    <w:rsid w:val="000901B2"/>
    <w:rsid w:val="000902A2"/>
    <w:rsid w:val="000911AD"/>
    <w:rsid w:val="000969AC"/>
    <w:rsid w:val="00096D75"/>
    <w:rsid w:val="000973DB"/>
    <w:rsid w:val="000975C6"/>
    <w:rsid w:val="000A0F48"/>
    <w:rsid w:val="000B031E"/>
    <w:rsid w:val="000B0D35"/>
    <w:rsid w:val="000B2200"/>
    <w:rsid w:val="000D2DEB"/>
    <w:rsid w:val="000D5C9C"/>
    <w:rsid w:val="000E4D73"/>
    <w:rsid w:val="000E666A"/>
    <w:rsid w:val="000F3A44"/>
    <w:rsid w:val="000F3D2F"/>
    <w:rsid w:val="001064E3"/>
    <w:rsid w:val="00114374"/>
    <w:rsid w:val="00115AF9"/>
    <w:rsid w:val="0012298D"/>
    <w:rsid w:val="00137222"/>
    <w:rsid w:val="00140A03"/>
    <w:rsid w:val="0014247C"/>
    <w:rsid w:val="00144646"/>
    <w:rsid w:val="0014513D"/>
    <w:rsid w:val="00146733"/>
    <w:rsid w:val="00157E1F"/>
    <w:rsid w:val="00172D32"/>
    <w:rsid w:val="001747A3"/>
    <w:rsid w:val="001808C4"/>
    <w:rsid w:val="00186D97"/>
    <w:rsid w:val="001940D3"/>
    <w:rsid w:val="0019484A"/>
    <w:rsid w:val="0019618D"/>
    <w:rsid w:val="001A4CD5"/>
    <w:rsid w:val="001A794C"/>
    <w:rsid w:val="001B0FE5"/>
    <w:rsid w:val="001B147B"/>
    <w:rsid w:val="001B49E9"/>
    <w:rsid w:val="001B57DB"/>
    <w:rsid w:val="001D6817"/>
    <w:rsid w:val="001D69B0"/>
    <w:rsid w:val="001E1065"/>
    <w:rsid w:val="001E1D4F"/>
    <w:rsid w:val="001E2E23"/>
    <w:rsid w:val="001E4462"/>
    <w:rsid w:val="001E57CF"/>
    <w:rsid w:val="001E7957"/>
    <w:rsid w:val="001F261C"/>
    <w:rsid w:val="001F49AA"/>
    <w:rsid w:val="00202FD9"/>
    <w:rsid w:val="0020530D"/>
    <w:rsid w:val="00205841"/>
    <w:rsid w:val="00216534"/>
    <w:rsid w:val="0021686C"/>
    <w:rsid w:val="00222850"/>
    <w:rsid w:val="002378D5"/>
    <w:rsid w:val="00237A9A"/>
    <w:rsid w:val="00243A5B"/>
    <w:rsid w:val="00245343"/>
    <w:rsid w:val="00252E78"/>
    <w:rsid w:val="00254898"/>
    <w:rsid w:val="00257663"/>
    <w:rsid w:val="0026096B"/>
    <w:rsid w:val="00291422"/>
    <w:rsid w:val="00293810"/>
    <w:rsid w:val="0029612E"/>
    <w:rsid w:val="00296DF5"/>
    <w:rsid w:val="002A02BF"/>
    <w:rsid w:val="002A2B4C"/>
    <w:rsid w:val="002A32C7"/>
    <w:rsid w:val="002B23C8"/>
    <w:rsid w:val="002B67A2"/>
    <w:rsid w:val="002C1EEC"/>
    <w:rsid w:val="002C2762"/>
    <w:rsid w:val="002C2D3D"/>
    <w:rsid w:val="002C4BCC"/>
    <w:rsid w:val="002C567C"/>
    <w:rsid w:val="002C7602"/>
    <w:rsid w:val="002E0698"/>
    <w:rsid w:val="002E1EE0"/>
    <w:rsid w:val="002E30CC"/>
    <w:rsid w:val="002E5B5A"/>
    <w:rsid w:val="00300655"/>
    <w:rsid w:val="0030129A"/>
    <w:rsid w:val="003045D2"/>
    <w:rsid w:val="00305364"/>
    <w:rsid w:val="003102A5"/>
    <w:rsid w:val="00310EB6"/>
    <w:rsid w:val="00311833"/>
    <w:rsid w:val="00323825"/>
    <w:rsid w:val="00324EE6"/>
    <w:rsid w:val="0033233A"/>
    <w:rsid w:val="00332C4D"/>
    <w:rsid w:val="00334294"/>
    <w:rsid w:val="00343C96"/>
    <w:rsid w:val="00343F33"/>
    <w:rsid w:val="0035697E"/>
    <w:rsid w:val="0036106A"/>
    <w:rsid w:val="00365F1E"/>
    <w:rsid w:val="003832DD"/>
    <w:rsid w:val="003A385E"/>
    <w:rsid w:val="003A7943"/>
    <w:rsid w:val="003B06EE"/>
    <w:rsid w:val="003B0A4C"/>
    <w:rsid w:val="003B5FFC"/>
    <w:rsid w:val="003B7BFC"/>
    <w:rsid w:val="003D47E5"/>
    <w:rsid w:val="003D4C26"/>
    <w:rsid w:val="003E2258"/>
    <w:rsid w:val="003E7F5A"/>
    <w:rsid w:val="003F2580"/>
    <w:rsid w:val="003F3F9D"/>
    <w:rsid w:val="003F6B31"/>
    <w:rsid w:val="00401DB7"/>
    <w:rsid w:val="00404634"/>
    <w:rsid w:val="0040667A"/>
    <w:rsid w:val="0041120C"/>
    <w:rsid w:val="0041370E"/>
    <w:rsid w:val="004242B6"/>
    <w:rsid w:val="004244B6"/>
    <w:rsid w:val="00424CAB"/>
    <w:rsid w:val="004344D4"/>
    <w:rsid w:val="004371DF"/>
    <w:rsid w:val="00440460"/>
    <w:rsid w:val="004445B4"/>
    <w:rsid w:val="0044625C"/>
    <w:rsid w:val="00452286"/>
    <w:rsid w:val="004526A6"/>
    <w:rsid w:val="0045500E"/>
    <w:rsid w:val="00456D40"/>
    <w:rsid w:val="00464881"/>
    <w:rsid w:val="00465950"/>
    <w:rsid w:val="00470CDB"/>
    <w:rsid w:val="00470D11"/>
    <w:rsid w:val="00477823"/>
    <w:rsid w:val="004803BC"/>
    <w:rsid w:val="00481EAA"/>
    <w:rsid w:val="00483629"/>
    <w:rsid w:val="004862B6"/>
    <w:rsid w:val="004877C6"/>
    <w:rsid w:val="0049170A"/>
    <w:rsid w:val="00492E66"/>
    <w:rsid w:val="0049515B"/>
    <w:rsid w:val="004975F1"/>
    <w:rsid w:val="004B627B"/>
    <w:rsid w:val="004C3D52"/>
    <w:rsid w:val="004D0899"/>
    <w:rsid w:val="005072E1"/>
    <w:rsid w:val="00515FC5"/>
    <w:rsid w:val="00516DC6"/>
    <w:rsid w:val="00532565"/>
    <w:rsid w:val="0054379E"/>
    <w:rsid w:val="00543AF3"/>
    <w:rsid w:val="005441AF"/>
    <w:rsid w:val="00546EDD"/>
    <w:rsid w:val="005470D3"/>
    <w:rsid w:val="005511A8"/>
    <w:rsid w:val="00551AA0"/>
    <w:rsid w:val="00551B0D"/>
    <w:rsid w:val="005523C8"/>
    <w:rsid w:val="00554AC9"/>
    <w:rsid w:val="00560440"/>
    <w:rsid w:val="00563B98"/>
    <w:rsid w:val="00573D63"/>
    <w:rsid w:val="005872C8"/>
    <w:rsid w:val="00591E94"/>
    <w:rsid w:val="005A0240"/>
    <w:rsid w:val="005A0489"/>
    <w:rsid w:val="005A059A"/>
    <w:rsid w:val="005B0620"/>
    <w:rsid w:val="005B331F"/>
    <w:rsid w:val="005C4E33"/>
    <w:rsid w:val="005D06B5"/>
    <w:rsid w:val="005D082F"/>
    <w:rsid w:val="005D3CA5"/>
    <w:rsid w:val="005D5DD9"/>
    <w:rsid w:val="005D78E6"/>
    <w:rsid w:val="005E2BF2"/>
    <w:rsid w:val="005E307B"/>
    <w:rsid w:val="005E3812"/>
    <w:rsid w:val="005E624C"/>
    <w:rsid w:val="005F03C8"/>
    <w:rsid w:val="005F41BF"/>
    <w:rsid w:val="005F561B"/>
    <w:rsid w:val="00601D0D"/>
    <w:rsid w:val="00623A85"/>
    <w:rsid w:val="00644E35"/>
    <w:rsid w:val="00652EE2"/>
    <w:rsid w:val="00655C47"/>
    <w:rsid w:val="006638F8"/>
    <w:rsid w:val="006722B8"/>
    <w:rsid w:val="00681455"/>
    <w:rsid w:val="006856B9"/>
    <w:rsid w:val="00686634"/>
    <w:rsid w:val="00690D0F"/>
    <w:rsid w:val="006A01D5"/>
    <w:rsid w:val="006A64CE"/>
    <w:rsid w:val="006A7D10"/>
    <w:rsid w:val="006C6A94"/>
    <w:rsid w:val="006D33BC"/>
    <w:rsid w:val="006D69E8"/>
    <w:rsid w:val="006E551D"/>
    <w:rsid w:val="006F12BA"/>
    <w:rsid w:val="00700647"/>
    <w:rsid w:val="0070322C"/>
    <w:rsid w:val="00707B29"/>
    <w:rsid w:val="00707E64"/>
    <w:rsid w:val="00711702"/>
    <w:rsid w:val="00711E46"/>
    <w:rsid w:val="007159C1"/>
    <w:rsid w:val="007206DD"/>
    <w:rsid w:val="00730D0E"/>
    <w:rsid w:val="007310E5"/>
    <w:rsid w:val="00731C3F"/>
    <w:rsid w:val="00734A15"/>
    <w:rsid w:val="00735376"/>
    <w:rsid w:val="007408D5"/>
    <w:rsid w:val="007520C6"/>
    <w:rsid w:val="0076241B"/>
    <w:rsid w:val="007660FF"/>
    <w:rsid w:val="00766305"/>
    <w:rsid w:val="00767700"/>
    <w:rsid w:val="00771BBD"/>
    <w:rsid w:val="00773C2A"/>
    <w:rsid w:val="00774B33"/>
    <w:rsid w:val="007757F2"/>
    <w:rsid w:val="00777F88"/>
    <w:rsid w:val="007865CD"/>
    <w:rsid w:val="00793792"/>
    <w:rsid w:val="007A561A"/>
    <w:rsid w:val="007A66BD"/>
    <w:rsid w:val="007B11F3"/>
    <w:rsid w:val="007B68F9"/>
    <w:rsid w:val="007C3317"/>
    <w:rsid w:val="007C7294"/>
    <w:rsid w:val="007D7625"/>
    <w:rsid w:val="007E1B86"/>
    <w:rsid w:val="007F068A"/>
    <w:rsid w:val="00814B73"/>
    <w:rsid w:val="00814FF2"/>
    <w:rsid w:val="00820A87"/>
    <w:rsid w:val="0082693D"/>
    <w:rsid w:val="00840CB9"/>
    <w:rsid w:val="00847540"/>
    <w:rsid w:val="00851573"/>
    <w:rsid w:val="00853A86"/>
    <w:rsid w:val="00853CC3"/>
    <w:rsid w:val="008541AE"/>
    <w:rsid w:val="008570CC"/>
    <w:rsid w:val="00866754"/>
    <w:rsid w:val="00867E6A"/>
    <w:rsid w:val="00874B22"/>
    <w:rsid w:val="00875B25"/>
    <w:rsid w:val="0089457C"/>
    <w:rsid w:val="008B2EAF"/>
    <w:rsid w:val="008C3B7D"/>
    <w:rsid w:val="008C45E1"/>
    <w:rsid w:val="008C6C0B"/>
    <w:rsid w:val="008D01F4"/>
    <w:rsid w:val="008D1AA1"/>
    <w:rsid w:val="008D3783"/>
    <w:rsid w:val="008D43D0"/>
    <w:rsid w:val="008D4CBE"/>
    <w:rsid w:val="008D59BF"/>
    <w:rsid w:val="008E2192"/>
    <w:rsid w:val="008E452A"/>
    <w:rsid w:val="008E65C5"/>
    <w:rsid w:val="008E6A9C"/>
    <w:rsid w:val="008F7250"/>
    <w:rsid w:val="009003A5"/>
    <w:rsid w:val="009334B7"/>
    <w:rsid w:val="00940525"/>
    <w:rsid w:val="0094429D"/>
    <w:rsid w:val="0094517B"/>
    <w:rsid w:val="00946FD4"/>
    <w:rsid w:val="0095132B"/>
    <w:rsid w:val="009634F9"/>
    <w:rsid w:val="00964834"/>
    <w:rsid w:val="00964BAC"/>
    <w:rsid w:val="00965251"/>
    <w:rsid w:val="009716C5"/>
    <w:rsid w:val="009739F9"/>
    <w:rsid w:val="00973D60"/>
    <w:rsid w:val="00982B12"/>
    <w:rsid w:val="00983988"/>
    <w:rsid w:val="00985303"/>
    <w:rsid w:val="009979F4"/>
    <w:rsid w:val="009A1540"/>
    <w:rsid w:val="009A4ED0"/>
    <w:rsid w:val="009B0826"/>
    <w:rsid w:val="009B22E7"/>
    <w:rsid w:val="009D2F52"/>
    <w:rsid w:val="009D72A3"/>
    <w:rsid w:val="009D7CEA"/>
    <w:rsid w:val="009E26A1"/>
    <w:rsid w:val="00A13040"/>
    <w:rsid w:val="00A136B2"/>
    <w:rsid w:val="00A25006"/>
    <w:rsid w:val="00A3282E"/>
    <w:rsid w:val="00A418B1"/>
    <w:rsid w:val="00A4650B"/>
    <w:rsid w:val="00A479C5"/>
    <w:rsid w:val="00A54A70"/>
    <w:rsid w:val="00A670C1"/>
    <w:rsid w:val="00A70BC1"/>
    <w:rsid w:val="00A73843"/>
    <w:rsid w:val="00A804A1"/>
    <w:rsid w:val="00A8308A"/>
    <w:rsid w:val="00A83FF8"/>
    <w:rsid w:val="00A86B21"/>
    <w:rsid w:val="00AB5300"/>
    <w:rsid w:val="00AB57FB"/>
    <w:rsid w:val="00AD164B"/>
    <w:rsid w:val="00AD5E84"/>
    <w:rsid w:val="00AE15D5"/>
    <w:rsid w:val="00AE1EF2"/>
    <w:rsid w:val="00AE3082"/>
    <w:rsid w:val="00AE4D7A"/>
    <w:rsid w:val="00B051C6"/>
    <w:rsid w:val="00B053A8"/>
    <w:rsid w:val="00B1767E"/>
    <w:rsid w:val="00B314CF"/>
    <w:rsid w:val="00B33401"/>
    <w:rsid w:val="00B36DB6"/>
    <w:rsid w:val="00B46C39"/>
    <w:rsid w:val="00B62825"/>
    <w:rsid w:val="00B62DBF"/>
    <w:rsid w:val="00B65752"/>
    <w:rsid w:val="00B70897"/>
    <w:rsid w:val="00B85528"/>
    <w:rsid w:val="00B85906"/>
    <w:rsid w:val="00B85B6C"/>
    <w:rsid w:val="00B905D9"/>
    <w:rsid w:val="00B93D76"/>
    <w:rsid w:val="00BA1061"/>
    <w:rsid w:val="00BA63AB"/>
    <w:rsid w:val="00BD034E"/>
    <w:rsid w:val="00BD1960"/>
    <w:rsid w:val="00BD503D"/>
    <w:rsid w:val="00BE0A62"/>
    <w:rsid w:val="00BE43A2"/>
    <w:rsid w:val="00BE7831"/>
    <w:rsid w:val="00C01288"/>
    <w:rsid w:val="00C02F51"/>
    <w:rsid w:val="00C13C64"/>
    <w:rsid w:val="00C2328B"/>
    <w:rsid w:val="00C505DA"/>
    <w:rsid w:val="00C6322C"/>
    <w:rsid w:val="00C63AF2"/>
    <w:rsid w:val="00C65FDF"/>
    <w:rsid w:val="00C80A13"/>
    <w:rsid w:val="00C81F43"/>
    <w:rsid w:val="00C82218"/>
    <w:rsid w:val="00C90A17"/>
    <w:rsid w:val="00C92868"/>
    <w:rsid w:val="00C92C34"/>
    <w:rsid w:val="00C94B1C"/>
    <w:rsid w:val="00C94FF0"/>
    <w:rsid w:val="00C97952"/>
    <w:rsid w:val="00CA0002"/>
    <w:rsid w:val="00CB076A"/>
    <w:rsid w:val="00CB362A"/>
    <w:rsid w:val="00CC57CE"/>
    <w:rsid w:val="00CD379D"/>
    <w:rsid w:val="00CD755A"/>
    <w:rsid w:val="00CF100F"/>
    <w:rsid w:val="00CF7C89"/>
    <w:rsid w:val="00D056F7"/>
    <w:rsid w:val="00D07FAE"/>
    <w:rsid w:val="00D167F6"/>
    <w:rsid w:val="00D1685C"/>
    <w:rsid w:val="00D22CB5"/>
    <w:rsid w:val="00D2390F"/>
    <w:rsid w:val="00D27811"/>
    <w:rsid w:val="00D30D26"/>
    <w:rsid w:val="00D37EBD"/>
    <w:rsid w:val="00D70181"/>
    <w:rsid w:val="00D72FA0"/>
    <w:rsid w:val="00D81428"/>
    <w:rsid w:val="00D8664E"/>
    <w:rsid w:val="00D957D5"/>
    <w:rsid w:val="00DA05FF"/>
    <w:rsid w:val="00DA1C8F"/>
    <w:rsid w:val="00DA46AC"/>
    <w:rsid w:val="00DA4AEA"/>
    <w:rsid w:val="00DB5214"/>
    <w:rsid w:val="00DC50A1"/>
    <w:rsid w:val="00DE38AF"/>
    <w:rsid w:val="00DE65B3"/>
    <w:rsid w:val="00DF335C"/>
    <w:rsid w:val="00E0469A"/>
    <w:rsid w:val="00E05FDD"/>
    <w:rsid w:val="00E178D9"/>
    <w:rsid w:val="00E2125B"/>
    <w:rsid w:val="00E21636"/>
    <w:rsid w:val="00E34ED7"/>
    <w:rsid w:val="00E37E55"/>
    <w:rsid w:val="00E40586"/>
    <w:rsid w:val="00E41792"/>
    <w:rsid w:val="00E42049"/>
    <w:rsid w:val="00E462CB"/>
    <w:rsid w:val="00E51A83"/>
    <w:rsid w:val="00E6157C"/>
    <w:rsid w:val="00E62EA2"/>
    <w:rsid w:val="00E62F87"/>
    <w:rsid w:val="00E739F1"/>
    <w:rsid w:val="00E77BE3"/>
    <w:rsid w:val="00E92A4C"/>
    <w:rsid w:val="00E959DF"/>
    <w:rsid w:val="00E975E2"/>
    <w:rsid w:val="00EA770F"/>
    <w:rsid w:val="00EB5585"/>
    <w:rsid w:val="00EC1F71"/>
    <w:rsid w:val="00EC5C0B"/>
    <w:rsid w:val="00EC5CE7"/>
    <w:rsid w:val="00EC7A79"/>
    <w:rsid w:val="00ED1CE9"/>
    <w:rsid w:val="00EE199A"/>
    <w:rsid w:val="00EF0E8C"/>
    <w:rsid w:val="00EF3276"/>
    <w:rsid w:val="00F03E1C"/>
    <w:rsid w:val="00F1555A"/>
    <w:rsid w:val="00F17D79"/>
    <w:rsid w:val="00F2564E"/>
    <w:rsid w:val="00F339F9"/>
    <w:rsid w:val="00F367E4"/>
    <w:rsid w:val="00F37FB6"/>
    <w:rsid w:val="00F41BA1"/>
    <w:rsid w:val="00F4498E"/>
    <w:rsid w:val="00F60004"/>
    <w:rsid w:val="00F64607"/>
    <w:rsid w:val="00F74E32"/>
    <w:rsid w:val="00F82E2E"/>
    <w:rsid w:val="00F86F39"/>
    <w:rsid w:val="00F90F46"/>
    <w:rsid w:val="00FA0F73"/>
    <w:rsid w:val="00FB0874"/>
    <w:rsid w:val="00FB185E"/>
    <w:rsid w:val="00FB2419"/>
    <w:rsid w:val="00FB5D62"/>
    <w:rsid w:val="00FC1F14"/>
    <w:rsid w:val="00FC21C4"/>
    <w:rsid w:val="00FC21D9"/>
    <w:rsid w:val="00FD5D8C"/>
    <w:rsid w:val="00FF0DB6"/>
    <w:rsid w:val="00FF3800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52D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288"/>
    <w:pPr>
      <w:jc w:val="both"/>
    </w:pPr>
    <w:rPr>
      <w:rFonts w:ascii="Garamond" w:hAnsi="Garamond"/>
      <w:sz w:val="22"/>
      <w:lang w:eastAsia="en-US"/>
    </w:rPr>
  </w:style>
  <w:style w:type="paragraph" w:styleId="Titre1">
    <w:name w:val="heading 1"/>
    <w:basedOn w:val="TitreBase"/>
    <w:next w:val="Corpsdetexte"/>
    <w:qFormat/>
    <w:rsid w:val="00C01288"/>
    <w:pPr>
      <w:ind w:left="-2160"/>
      <w:jc w:val="left"/>
      <w:outlineLvl w:val="0"/>
    </w:pPr>
    <w:rPr>
      <w:spacing w:val="20"/>
      <w:kern w:val="28"/>
      <w:sz w:val="23"/>
    </w:rPr>
  </w:style>
  <w:style w:type="paragraph" w:styleId="Titre2">
    <w:name w:val="heading 2"/>
    <w:basedOn w:val="TitreBase"/>
    <w:next w:val="Corpsdetexte"/>
    <w:qFormat/>
    <w:rsid w:val="00C01288"/>
    <w:pPr>
      <w:jc w:val="left"/>
      <w:outlineLvl w:val="1"/>
    </w:pPr>
    <w:rPr>
      <w:spacing w:val="5"/>
      <w:sz w:val="20"/>
    </w:rPr>
  </w:style>
  <w:style w:type="paragraph" w:styleId="Titre3">
    <w:name w:val="heading 3"/>
    <w:basedOn w:val="TitreBase"/>
    <w:next w:val="Corpsdetexte"/>
    <w:qFormat/>
    <w:rsid w:val="00C01288"/>
    <w:pPr>
      <w:spacing w:after="220"/>
      <w:jc w:val="left"/>
      <w:outlineLvl w:val="2"/>
    </w:pPr>
    <w:rPr>
      <w:i/>
      <w:spacing w:val="-2"/>
      <w:sz w:val="20"/>
    </w:rPr>
  </w:style>
  <w:style w:type="paragraph" w:styleId="Titre4">
    <w:name w:val="heading 4"/>
    <w:basedOn w:val="TitreBase"/>
    <w:next w:val="Corpsdetexte"/>
    <w:qFormat/>
    <w:rsid w:val="00C01288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re5">
    <w:name w:val="heading 5"/>
    <w:basedOn w:val="TitreBase"/>
    <w:next w:val="Corpsdetexte"/>
    <w:qFormat/>
    <w:rsid w:val="00C01288"/>
    <w:pPr>
      <w:spacing w:after="220"/>
      <w:jc w:val="left"/>
      <w:outlineLvl w:val="4"/>
    </w:pPr>
    <w:rPr>
      <w:b/>
      <w:spacing w:val="20"/>
      <w:sz w:val="18"/>
    </w:rPr>
  </w:style>
  <w:style w:type="paragraph" w:styleId="Titre6">
    <w:name w:val="heading 6"/>
    <w:basedOn w:val="Normal"/>
    <w:next w:val="Normal"/>
    <w:qFormat/>
    <w:rsid w:val="00C01288"/>
    <w:pPr>
      <w:spacing w:before="240" w:line="240" w:lineRule="atLeast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C0128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C0128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C0128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ussite">
    <w:name w:val="Réussite"/>
    <w:basedOn w:val="Corpsdetexte"/>
    <w:rsid w:val="00C01288"/>
    <w:pPr>
      <w:numPr>
        <w:numId w:val="12"/>
      </w:numPr>
      <w:spacing w:after="60"/>
      <w:ind w:left="0" w:firstLine="0"/>
    </w:pPr>
  </w:style>
  <w:style w:type="paragraph" w:styleId="Corpsdetexte">
    <w:name w:val="Body Text"/>
    <w:basedOn w:val="Normal"/>
    <w:rsid w:val="00C01288"/>
    <w:pPr>
      <w:spacing w:after="220" w:line="240" w:lineRule="atLeast"/>
    </w:pPr>
  </w:style>
  <w:style w:type="paragraph" w:customStyle="1" w:styleId="Adresse1">
    <w:name w:val="Adresse 1"/>
    <w:basedOn w:val="Normal"/>
    <w:rsid w:val="00C0128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resse2">
    <w:name w:val="Adresse 2"/>
    <w:basedOn w:val="Normal"/>
    <w:rsid w:val="00C01288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omdesocit">
    <w:name w:val="Nom de société"/>
    <w:basedOn w:val="Normal"/>
    <w:next w:val="Intitulduposte"/>
    <w:rsid w:val="00C01288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Organisme">
    <w:name w:val="Organisme"/>
    <w:basedOn w:val="Normal"/>
    <w:next w:val="Russite"/>
    <w:rsid w:val="00C01288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ntitulduposte">
    <w:name w:val="Intitulé du poste"/>
    <w:next w:val="Russite"/>
    <w:rsid w:val="00C01288"/>
    <w:pPr>
      <w:spacing w:before="40" w:after="40" w:line="220" w:lineRule="atLeast"/>
    </w:pPr>
    <w:rPr>
      <w:rFonts w:ascii="Garamond" w:hAnsi="Garamond"/>
      <w:i/>
      <w:spacing w:val="5"/>
      <w:sz w:val="23"/>
      <w:lang w:val="fr-FR" w:eastAsia="en-US"/>
    </w:rPr>
  </w:style>
  <w:style w:type="paragraph" w:customStyle="1" w:styleId="Nom">
    <w:name w:val="Nom"/>
    <w:basedOn w:val="Normal"/>
    <w:next w:val="Normal"/>
    <w:rsid w:val="00C01288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fs">
    <w:name w:val="Objectifs"/>
    <w:basedOn w:val="Normal"/>
    <w:next w:val="Corpsdetexte"/>
    <w:rsid w:val="00C01288"/>
    <w:pPr>
      <w:spacing w:before="60" w:after="220" w:line="220" w:lineRule="atLeast"/>
    </w:pPr>
  </w:style>
  <w:style w:type="paragraph" w:customStyle="1" w:styleId="Titredesection">
    <w:name w:val="Titre de section"/>
    <w:basedOn w:val="Normal"/>
    <w:next w:val="Objectifs"/>
    <w:rsid w:val="00C01288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Informationspersonnelles">
    <w:name w:val="Informations personnelles"/>
    <w:basedOn w:val="Russite"/>
    <w:next w:val="Russite"/>
    <w:rsid w:val="00C01288"/>
    <w:pPr>
      <w:spacing w:before="220"/>
      <w:ind w:left="245" w:hanging="245"/>
    </w:pPr>
  </w:style>
  <w:style w:type="character" w:styleId="Accentuation">
    <w:name w:val="Emphasis"/>
    <w:uiPriority w:val="20"/>
    <w:qFormat/>
    <w:rsid w:val="00C01288"/>
    <w:rPr>
      <w:rFonts w:ascii="Garamond" w:hAnsi="Garamond"/>
      <w:caps/>
      <w:spacing w:val="0"/>
      <w:sz w:val="18"/>
    </w:rPr>
  </w:style>
  <w:style w:type="character" w:styleId="AcronymeHTML">
    <w:name w:val="HTML Acronym"/>
    <w:basedOn w:val="Policepardfaut"/>
    <w:rsid w:val="00C01288"/>
    <w:rPr>
      <w:lang w:val="fr-FR"/>
    </w:rPr>
  </w:style>
  <w:style w:type="paragraph" w:styleId="Adressedestinataire">
    <w:name w:val="envelope address"/>
    <w:basedOn w:val="Normal"/>
    <w:rsid w:val="00C0128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C01288"/>
    <w:rPr>
      <w:rFonts w:ascii="Arial" w:hAnsi="Arial" w:cs="Arial"/>
      <w:sz w:val="20"/>
    </w:rPr>
  </w:style>
  <w:style w:type="paragraph" w:styleId="AdresseHTML">
    <w:name w:val="HTML Address"/>
    <w:basedOn w:val="Normal"/>
    <w:rsid w:val="00C01288"/>
    <w:rPr>
      <w:i/>
      <w:iCs/>
    </w:rPr>
  </w:style>
  <w:style w:type="character" w:styleId="Appeldenotedefin">
    <w:name w:val="endnote reference"/>
    <w:semiHidden/>
    <w:rsid w:val="00C01288"/>
    <w:rPr>
      <w:vertAlign w:val="superscript"/>
      <w:lang w:val="fr-FR"/>
    </w:rPr>
  </w:style>
  <w:style w:type="character" w:styleId="Appelnotedebasdep">
    <w:name w:val="footnote reference"/>
    <w:semiHidden/>
    <w:rsid w:val="00C01288"/>
    <w:rPr>
      <w:vertAlign w:val="superscript"/>
      <w:lang w:val="fr-FR"/>
    </w:rPr>
  </w:style>
  <w:style w:type="character" w:styleId="CitationHTML">
    <w:name w:val="HTML Cite"/>
    <w:rsid w:val="00C01288"/>
    <w:rPr>
      <w:i/>
      <w:iCs/>
      <w:lang w:val="fr-FR"/>
    </w:rPr>
  </w:style>
  <w:style w:type="character" w:styleId="ClavierHTML">
    <w:name w:val="HTML Keyboard"/>
    <w:rsid w:val="00C01288"/>
    <w:rPr>
      <w:rFonts w:ascii="Courier New" w:hAnsi="Courier New"/>
      <w:sz w:val="20"/>
      <w:szCs w:val="20"/>
      <w:lang w:val="fr-FR"/>
    </w:rPr>
  </w:style>
  <w:style w:type="character" w:styleId="CodeHTML">
    <w:name w:val="HTML Code"/>
    <w:rsid w:val="00C01288"/>
    <w:rPr>
      <w:rFonts w:ascii="Courier New" w:hAnsi="Courier New"/>
      <w:sz w:val="20"/>
      <w:szCs w:val="20"/>
      <w:lang w:val="fr-FR"/>
    </w:rPr>
  </w:style>
  <w:style w:type="paragraph" w:styleId="Commentaire">
    <w:name w:val="annotation text"/>
    <w:basedOn w:val="Normal"/>
    <w:link w:val="CommentaireCar"/>
    <w:semiHidden/>
    <w:rsid w:val="00C01288"/>
    <w:rPr>
      <w:sz w:val="20"/>
    </w:rPr>
  </w:style>
  <w:style w:type="paragraph" w:styleId="Corpsdetexte2">
    <w:name w:val="Body Text 2"/>
    <w:basedOn w:val="Normal"/>
    <w:rsid w:val="00C01288"/>
    <w:pPr>
      <w:spacing w:after="120" w:line="480" w:lineRule="auto"/>
    </w:pPr>
  </w:style>
  <w:style w:type="paragraph" w:styleId="Corpsdetexte3">
    <w:name w:val="Body Text 3"/>
    <w:basedOn w:val="Normal"/>
    <w:rsid w:val="00C01288"/>
    <w:pPr>
      <w:spacing w:after="120"/>
    </w:pPr>
    <w:rPr>
      <w:sz w:val="16"/>
      <w:szCs w:val="16"/>
    </w:rPr>
  </w:style>
  <w:style w:type="paragraph" w:styleId="Date">
    <w:name w:val="Date"/>
    <w:basedOn w:val="Corpsdetexte"/>
    <w:rsid w:val="00C01288"/>
    <w:pPr>
      <w:keepNext/>
    </w:pPr>
  </w:style>
  <w:style w:type="character" w:styleId="DfinitionHTML">
    <w:name w:val="HTML Definition"/>
    <w:rsid w:val="00C01288"/>
    <w:rPr>
      <w:i/>
      <w:iCs/>
      <w:lang w:val="fr-FR"/>
    </w:rPr>
  </w:style>
  <w:style w:type="character" w:styleId="lev">
    <w:name w:val="Strong"/>
    <w:uiPriority w:val="22"/>
    <w:qFormat/>
    <w:rsid w:val="00C01288"/>
    <w:rPr>
      <w:b/>
      <w:bCs/>
      <w:lang w:val="fr-FR"/>
    </w:rPr>
  </w:style>
  <w:style w:type="paragraph" w:styleId="En-tte">
    <w:name w:val="header"/>
    <w:basedOn w:val="Baseen-tte"/>
    <w:rsid w:val="00C01288"/>
  </w:style>
  <w:style w:type="paragraph" w:styleId="En-ttedemessage">
    <w:name w:val="Message Header"/>
    <w:basedOn w:val="Normal"/>
    <w:rsid w:val="00C012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rsid w:val="00C01288"/>
    <w:rPr>
      <w:rFonts w:ascii="Courier New" w:hAnsi="Courier New"/>
      <w:lang w:val="fr-FR"/>
    </w:rPr>
  </w:style>
  <w:style w:type="paragraph" w:styleId="Explorateurdedocuments">
    <w:name w:val="Document Map"/>
    <w:basedOn w:val="Normal"/>
    <w:semiHidden/>
    <w:rsid w:val="00C01288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C01288"/>
    <w:pPr>
      <w:ind w:left="4252"/>
    </w:pPr>
  </w:style>
  <w:style w:type="paragraph" w:styleId="Index1">
    <w:name w:val="index 1"/>
    <w:basedOn w:val="Normal"/>
    <w:next w:val="Normal"/>
    <w:autoRedefine/>
    <w:semiHidden/>
    <w:rsid w:val="00C01288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01288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01288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01288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01288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01288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01288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01288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01288"/>
    <w:pPr>
      <w:ind w:left="1980" w:hanging="220"/>
    </w:pPr>
  </w:style>
  <w:style w:type="paragraph" w:styleId="Lgende">
    <w:name w:val="caption"/>
    <w:basedOn w:val="Normal"/>
    <w:next w:val="Normal"/>
    <w:qFormat/>
    <w:rsid w:val="00C01288"/>
    <w:pPr>
      <w:spacing w:before="120" w:after="120"/>
    </w:pPr>
    <w:rPr>
      <w:b/>
      <w:bCs/>
      <w:sz w:val="20"/>
    </w:rPr>
  </w:style>
  <w:style w:type="character" w:styleId="Lienhypertexte">
    <w:name w:val="Hyperlink"/>
    <w:rsid w:val="00C01288"/>
    <w:rPr>
      <w:color w:val="0000FF"/>
      <w:u w:val="single"/>
      <w:lang w:val="fr-FR"/>
    </w:rPr>
  </w:style>
  <w:style w:type="character" w:styleId="Lienhypertextesuivivisit">
    <w:name w:val="FollowedHyperlink"/>
    <w:rsid w:val="00C01288"/>
    <w:rPr>
      <w:color w:val="800080"/>
      <w:u w:val="single"/>
      <w:lang w:val="fr-FR"/>
    </w:rPr>
  </w:style>
  <w:style w:type="paragraph" w:styleId="Liste">
    <w:name w:val="List"/>
    <w:basedOn w:val="Normal"/>
    <w:rsid w:val="00C01288"/>
    <w:pPr>
      <w:ind w:left="283" w:hanging="283"/>
    </w:pPr>
  </w:style>
  <w:style w:type="paragraph" w:styleId="Liste2">
    <w:name w:val="List 2"/>
    <w:basedOn w:val="Normal"/>
    <w:rsid w:val="00C01288"/>
    <w:pPr>
      <w:ind w:left="566" w:hanging="283"/>
    </w:pPr>
  </w:style>
  <w:style w:type="paragraph" w:styleId="Liste3">
    <w:name w:val="List 3"/>
    <w:basedOn w:val="Normal"/>
    <w:rsid w:val="00C01288"/>
    <w:pPr>
      <w:ind w:left="849" w:hanging="283"/>
    </w:pPr>
  </w:style>
  <w:style w:type="paragraph" w:styleId="Liste4">
    <w:name w:val="List 4"/>
    <w:basedOn w:val="Normal"/>
    <w:rsid w:val="00C01288"/>
    <w:pPr>
      <w:ind w:left="1132" w:hanging="283"/>
    </w:pPr>
  </w:style>
  <w:style w:type="paragraph" w:styleId="Liste5">
    <w:name w:val="List 5"/>
    <w:basedOn w:val="Normal"/>
    <w:rsid w:val="00C01288"/>
    <w:pPr>
      <w:ind w:left="1415" w:hanging="283"/>
    </w:pPr>
  </w:style>
  <w:style w:type="paragraph" w:styleId="Listenumros">
    <w:name w:val="List Number"/>
    <w:basedOn w:val="Normal"/>
    <w:rsid w:val="00C01288"/>
    <w:pPr>
      <w:numPr>
        <w:numId w:val="2"/>
      </w:numPr>
    </w:pPr>
  </w:style>
  <w:style w:type="paragraph" w:styleId="Listenumros2">
    <w:name w:val="List Number 2"/>
    <w:basedOn w:val="Normal"/>
    <w:rsid w:val="00C01288"/>
    <w:pPr>
      <w:numPr>
        <w:numId w:val="3"/>
      </w:numPr>
    </w:pPr>
  </w:style>
  <w:style w:type="paragraph" w:styleId="Listenumros3">
    <w:name w:val="List Number 3"/>
    <w:basedOn w:val="Normal"/>
    <w:rsid w:val="00C01288"/>
    <w:pPr>
      <w:numPr>
        <w:numId w:val="4"/>
      </w:numPr>
    </w:pPr>
  </w:style>
  <w:style w:type="paragraph" w:styleId="Listenumros4">
    <w:name w:val="List Number 4"/>
    <w:basedOn w:val="Normal"/>
    <w:rsid w:val="00C01288"/>
    <w:pPr>
      <w:numPr>
        <w:numId w:val="5"/>
      </w:numPr>
    </w:pPr>
  </w:style>
  <w:style w:type="paragraph" w:styleId="Listenumros5">
    <w:name w:val="List Number 5"/>
    <w:basedOn w:val="Normal"/>
    <w:rsid w:val="00C01288"/>
    <w:pPr>
      <w:numPr>
        <w:numId w:val="6"/>
      </w:numPr>
    </w:pPr>
  </w:style>
  <w:style w:type="paragraph" w:styleId="Listepuces">
    <w:name w:val="List Bullet"/>
    <w:basedOn w:val="Normal"/>
    <w:autoRedefine/>
    <w:rsid w:val="00C01288"/>
    <w:pPr>
      <w:numPr>
        <w:numId w:val="7"/>
      </w:numPr>
    </w:pPr>
  </w:style>
  <w:style w:type="paragraph" w:styleId="Listepuces2">
    <w:name w:val="List Bullet 2"/>
    <w:basedOn w:val="Normal"/>
    <w:autoRedefine/>
    <w:rsid w:val="00C01288"/>
    <w:pPr>
      <w:numPr>
        <w:numId w:val="8"/>
      </w:numPr>
    </w:pPr>
  </w:style>
  <w:style w:type="paragraph" w:styleId="Listepuces3">
    <w:name w:val="List Bullet 3"/>
    <w:basedOn w:val="Normal"/>
    <w:autoRedefine/>
    <w:rsid w:val="00C01288"/>
    <w:pPr>
      <w:numPr>
        <w:numId w:val="9"/>
      </w:numPr>
    </w:pPr>
  </w:style>
  <w:style w:type="paragraph" w:styleId="Listepuces4">
    <w:name w:val="List Bullet 4"/>
    <w:basedOn w:val="Normal"/>
    <w:autoRedefine/>
    <w:rsid w:val="00C01288"/>
    <w:pPr>
      <w:numPr>
        <w:numId w:val="10"/>
      </w:numPr>
    </w:pPr>
  </w:style>
  <w:style w:type="paragraph" w:styleId="Listepuces5">
    <w:name w:val="List Bullet 5"/>
    <w:basedOn w:val="Normal"/>
    <w:autoRedefine/>
    <w:rsid w:val="00C01288"/>
    <w:pPr>
      <w:numPr>
        <w:numId w:val="11"/>
      </w:numPr>
    </w:pPr>
  </w:style>
  <w:style w:type="paragraph" w:styleId="Listecontinue">
    <w:name w:val="List Continue"/>
    <w:basedOn w:val="Normal"/>
    <w:rsid w:val="00C01288"/>
    <w:pPr>
      <w:spacing w:after="120"/>
      <w:ind w:left="283"/>
    </w:pPr>
  </w:style>
  <w:style w:type="paragraph" w:styleId="Listecontinue2">
    <w:name w:val="List Continue 2"/>
    <w:basedOn w:val="Normal"/>
    <w:rsid w:val="00C01288"/>
    <w:pPr>
      <w:spacing w:after="120"/>
      <w:ind w:left="566"/>
    </w:pPr>
  </w:style>
  <w:style w:type="paragraph" w:styleId="Listecontinue3">
    <w:name w:val="List Continue 3"/>
    <w:basedOn w:val="Normal"/>
    <w:rsid w:val="00C01288"/>
    <w:pPr>
      <w:spacing w:after="120"/>
      <w:ind w:left="849"/>
    </w:pPr>
  </w:style>
  <w:style w:type="paragraph" w:styleId="Listecontinue4">
    <w:name w:val="List Continue 4"/>
    <w:basedOn w:val="Normal"/>
    <w:rsid w:val="00C01288"/>
    <w:pPr>
      <w:spacing w:after="120"/>
      <w:ind w:left="1132"/>
    </w:pPr>
  </w:style>
  <w:style w:type="paragraph" w:styleId="Listecontinue5">
    <w:name w:val="List Continue 5"/>
    <w:basedOn w:val="Normal"/>
    <w:rsid w:val="00C01288"/>
    <w:pPr>
      <w:spacing w:after="120"/>
      <w:ind w:left="1415"/>
    </w:pPr>
  </w:style>
  <w:style w:type="character" w:styleId="MachinecrireHTML">
    <w:name w:val="HTML Typewriter"/>
    <w:rsid w:val="00C01288"/>
    <w:rPr>
      <w:rFonts w:ascii="Courier New" w:hAnsi="Courier New"/>
      <w:sz w:val="20"/>
      <w:szCs w:val="20"/>
      <w:lang w:val="fr-FR"/>
    </w:rPr>
  </w:style>
  <w:style w:type="character" w:styleId="Marquedecommentaire">
    <w:name w:val="annotation reference"/>
    <w:semiHidden/>
    <w:rsid w:val="00C01288"/>
    <w:rPr>
      <w:sz w:val="16"/>
      <w:szCs w:val="16"/>
      <w:lang w:val="fr-FR"/>
    </w:rPr>
  </w:style>
  <w:style w:type="paragraph" w:styleId="NormalWeb">
    <w:name w:val="Normal (Web)"/>
    <w:basedOn w:val="Normal"/>
    <w:uiPriority w:val="99"/>
    <w:rsid w:val="00C01288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C01288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C01288"/>
    <w:rPr>
      <w:sz w:val="20"/>
    </w:rPr>
  </w:style>
  <w:style w:type="paragraph" w:styleId="Notedefin">
    <w:name w:val="endnote text"/>
    <w:basedOn w:val="Normal"/>
    <w:semiHidden/>
    <w:rsid w:val="00C01288"/>
    <w:rPr>
      <w:sz w:val="20"/>
    </w:rPr>
  </w:style>
  <w:style w:type="character" w:styleId="Numrodeligne">
    <w:name w:val="line number"/>
    <w:basedOn w:val="Policepardfaut"/>
    <w:rsid w:val="00C01288"/>
    <w:rPr>
      <w:lang w:val="fr-FR"/>
    </w:rPr>
  </w:style>
  <w:style w:type="character" w:styleId="Numrodepage">
    <w:name w:val="page number"/>
    <w:rsid w:val="00C01288"/>
    <w:rPr>
      <w:sz w:val="24"/>
    </w:rPr>
  </w:style>
  <w:style w:type="paragraph" w:styleId="Pieddepage">
    <w:name w:val="footer"/>
    <w:basedOn w:val="Baseen-tte"/>
    <w:link w:val="PieddepageCar"/>
    <w:uiPriority w:val="99"/>
    <w:rsid w:val="00C01288"/>
    <w:pPr>
      <w:tabs>
        <w:tab w:val="right" w:pos="7320"/>
      </w:tabs>
      <w:spacing w:line="240" w:lineRule="atLeast"/>
      <w:ind w:right="-840"/>
      <w:jc w:val="left"/>
    </w:pPr>
  </w:style>
  <w:style w:type="paragraph" w:styleId="PrformatHTML">
    <w:name w:val="HTML Preformatted"/>
    <w:basedOn w:val="Normal"/>
    <w:rsid w:val="00C01288"/>
    <w:rPr>
      <w:rFonts w:ascii="Courier New" w:hAnsi="Courier New" w:cs="Courier New"/>
      <w:sz w:val="20"/>
    </w:rPr>
  </w:style>
  <w:style w:type="paragraph" w:styleId="Retrait1religne">
    <w:name w:val="Body Text First Indent"/>
    <w:basedOn w:val="Corpsdetexte"/>
    <w:link w:val="Retrait1religneCar"/>
    <w:rsid w:val="00C01288"/>
    <w:pPr>
      <w:spacing w:after="120" w:line="240" w:lineRule="auto"/>
      <w:ind w:firstLine="210"/>
    </w:pPr>
  </w:style>
  <w:style w:type="paragraph" w:styleId="Retraitcorpsdetexte">
    <w:name w:val="Body Text Indent"/>
    <w:basedOn w:val="Corpsdetexte"/>
    <w:rsid w:val="00C01288"/>
    <w:pPr>
      <w:ind w:left="720"/>
    </w:pPr>
  </w:style>
  <w:style w:type="paragraph" w:styleId="Retraitcorpsdetexte2">
    <w:name w:val="Body Text Indent 2"/>
    <w:basedOn w:val="Normal"/>
    <w:rsid w:val="00C0128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C01288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C01288"/>
    <w:pPr>
      <w:spacing w:after="120" w:line="240" w:lineRule="auto"/>
      <w:ind w:left="283" w:firstLine="210"/>
    </w:pPr>
  </w:style>
  <w:style w:type="paragraph" w:styleId="Retraitnormal">
    <w:name w:val="Normal Indent"/>
    <w:basedOn w:val="Normal"/>
    <w:rsid w:val="00C01288"/>
    <w:pPr>
      <w:ind w:left="708"/>
    </w:pPr>
  </w:style>
  <w:style w:type="paragraph" w:styleId="Salutations">
    <w:name w:val="Salutation"/>
    <w:basedOn w:val="Normal"/>
    <w:next w:val="Normal"/>
    <w:rsid w:val="00C01288"/>
  </w:style>
  <w:style w:type="paragraph" w:styleId="Signature">
    <w:name w:val="Signature"/>
    <w:basedOn w:val="Normal"/>
    <w:rsid w:val="00C01288"/>
    <w:pPr>
      <w:ind w:left="4252"/>
    </w:pPr>
  </w:style>
  <w:style w:type="paragraph" w:styleId="Signaturelectronique">
    <w:name w:val="E-mail Signature"/>
    <w:basedOn w:val="Normal"/>
    <w:rsid w:val="00C01288"/>
  </w:style>
  <w:style w:type="paragraph" w:styleId="Sous-titre">
    <w:name w:val="Subtitle"/>
    <w:basedOn w:val="Normal"/>
    <w:qFormat/>
    <w:rsid w:val="00C0128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C01288"/>
    <w:pPr>
      <w:ind w:left="440" w:hanging="440"/>
    </w:pPr>
  </w:style>
  <w:style w:type="paragraph" w:styleId="Tabledesrfrencesjuridiques">
    <w:name w:val="table of authorities"/>
    <w:basedOn w:val="Normal"/>
    <w:next w:val="Normal"/>
    <w:semiHidden/>
    <w:rsid w:val="00C01288"/>
    <w:pPr>
      <w:ind w:left="220" w:hanging="220"/>
    </w:pPr>
  </w:style>
  <w:style w:type="paragraph" w:styleId="Textebrut">
    <w:name w:val="Plain Text"/>
    <w:basedOn w:val="Normal"/>
    <w:rsid w:val="00C01288"/>
    <w:rPr>
      <w:rFonts w:ascii="Courier New" w:hAnsi="Courier New" w:cs="Courier New"/>
      <w:sz w:val="20"/>
    </w:rPr>
  </w:style>
  <w:style w:type="paragraph" w:styleId="Textedemacro">
    <w:name w:val="macro"/>
    <w:semiHidden/>
    <w:rsid w:val="00C012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val="fr-FR" w:eastAsia="en-US"/>
    </w:rPr>
  </w:style>
  <w:style w:type="paragraph" w:styleId="Titre">
    <w:name w:val="Title"/>
    <w:basedOn w:val="Normal"/>
    <w:qFormat/>
    <w:rsid w:val="00C0128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C01288"/>
  </w:style>
  <w:style w:type="paragraph" w:styleId="Titreindex">
    <w:name w:val="index heading"/>
    <w:basedOn w:val="Normal"/>
    <w:next w:val="Index1"/>
    <w:semiHidden/>
    <w:rsid w:val="00C01288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C01288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C01288"/>
  </w:style>
  <w:style w:type="paragraph" w:styleId="TM2">
    <w:name w:val="toc 2"/>
    <w:basedOn w:val="Normal"/>
    <w:next w:val="Normal"/>
    <w:autoRedefine/>
    <w:semiHidden/>
    <w:rsid w:val="00C01288"/>
    <w:pPr>
      <w:ind w:left="220"/>
    </w:pPr>
  </w:style>
  <w:style w:type="paragraph" w:styleId="TM3">
    <w:name w:val="toc 3"/>
    <w:basedOn w:val="Normal"/>
    <w:next w:val="Normal"/>
    <w:autoRedefine/>
    <w:semiHidden/>
    <w:rsid w:val="00C01288"/>
    <w:pPr>
      <w:ind w:left="440"/>
    </w:pPr>
  </w:style>
  <w:style w:type="paragraph" w:styleId="TM4">
    <w:name w:val="toc 4"/>
    <w:basedOn w:val="Normal"/>
    <w:next w:val="Normal"/>
    <w:autoRedefine/>
    <w:semiHidden/>
    <w:rsid w:val="00C01288"/>
    <w:pPr>
      <w:ind w:left="660"/>
    </w:pPr>
  </w:style>
  <w:style w:type="paragraph" w:styleId="TM5">
    <w:name w:val="toc 5"/>
    <w:basedOn w:val="Normal"/>
    <w:next w:val="Normal"/>
    <w:autoRedefine/>
    <w:semiHidden/>
    <w:rsid w:val="00C01288"/>
    <w:pPr>
      <w:ind w:left="880"/>
    </w:pPr>
  </w:style>
  <w:style w:type="paragraph" w:styleId="TM6">
    <w:name w:val="toc 6"/>
    <w:basedOn w:val="Normal"/>
    <w:next w:val="Normal"/>
    <w:autoRedefine/>
    <w:semiHidden/>
    <w:rsid w:val="00C01288"/>
    <w:pPr>
      <w:ind w:left="1100"/>
    </w:pPr>
  </w:style>
  <w:style w:type="paragraph" w:styleId="TM7">
    <w:name w:val="toc 7"/>
    <w:basedOn w:val="Normal"/>
    <w:next w:val="Normal"/>
    <w:autoRedefine/>
    <w:semiHidden/>
    <w:rsid w:val="00C01288"/>
    <w:pPr>
      <w:ind w:left="1320"/>
    </w:pPr>
  </w:style>
  <w:style w:type="paragraph" w:styleId="TM8">
    <w:name w:val="toc 8"/>
    <w:basedOn w:val="Normal"/>
    <w:next w:val="Normal"/>
    <w:autoRedefine/>
    <w:semiHidden/>
    <w:rsid w:val="00C01288"/>
    <w:pPr>
      <w:ind w:left="1540"/>
    </w:pPr>
  </w:style>
  <w:style w:type="paragraph" w:styleId="TM9">
    <w:name w:val="toc 9"/>
    <w:basedOn w:val="Normal"/>
    <w:next w:val="Normal"/>
    <w:autoRedefine/>
    <w:semiHidden/>
    <w:rsid w:val="00C01288"/>
    <w:pPr>
      <w:ind w:left="1760"/>
    </w:pPr>
  </w:style>
  <w:style w:type="character" w:styleId="VariableHTML">
    <w:name w:val="HTML Variable"/>
    <w:rsid w:val="00C01288"/>
    <w:rPr>
      <w:i/>
      <w:iCs/>
      <w:lang w:val="fr-FR"/>
    </w:rPr>
  </w:style>
  <w:style w:type="paragraph" w:styleId="Textedebulles">
    <w:name w:val="Balloon Text"/>
    <w:basedOn w:val="Normal"/>
    <w:semiHidden/>
    <w:rsid w:val="00C57CC7"/>
    <w:rPr>
      <w:rFonts w:ascii="Tahoma" w:hAnsi="Tahoma" w:cs="Tahoma"/>
      <w:sz w:val="16"/>
      <w:szCs w:val="16"/>
    </w:rPr>
  </w:style>
  <w:style w:type="paragraph" w:customStyle="1" w:styleId="TitreBase">
    <w:name w:val="Titre (Base)"/>
    <w:basedOn w:val="Corpsdetexte"/>
    <w:next w:val="Corpsdetexte"/>
    <w:rsid w:val="00C01288"/>
    <w:pPr>
      <w:keepNext/>
      <w:keepLines/>
      <w:spacing w:before="240" w:after="240"/>
    </w:pPr>
    <w:rPr>
      <w:caps/>
    </w:rPr>
  </w:style>
  <w:style w:type="paragraph" w:customStyle="1" w:styleId="Baseen-tte">
    <w:name w:val="Base en-tête"/>
    <w:basedOn w:val="Normal"/>
    <w:rsid w:val="00C01288"/>
    <w:pPr>
      <w:spacing w:before="220" w:after="220" w:line="220" w:lineRule="atLeast"/>
      <w:ind w:left="-2160"/>
    </w:pPr>
    <w:rPr>
      <w:caps/>
    </w:rPr>
  </w:style>
  <w:style w:type="paragraph" w:customStyle="1" w:styleId="Intituldocument">
    <w:name w:val="Intitulé document"/>
    <w:basedOn w:val="Normal"/>
    <w:next w:val="Titredesection"/>
    <w:rsid w:val="00C01288"/>
    <w:pPr>
      <w:spacing w:after="220"/>
    </w:pPr>
    <w:rPr>
      <w:spacing w:val="-20"/>
      <w:sz w:val="48"/>
    </w:rPr>
  </w:style>
  <w:style w:type="paragraph" w:customStyle="1" w:styleId="VillePays">
    <w:name w:val="Ville/Pays"/>
    <w:basedOn w:val="Corpsdetexte"/>
    <w:next w:val="Corpsdetexte"/>
    <w:rsid w:val="00C01288"/>
    <w:pPr>
      <w:keepNext/>
    </w:pPr>
  </w:style>
  <w:style w:type="character" w:customStyle="1" w:styleId="PrambuleAccentuation">
    <w:name w:val="Préambule (Accentuation)"/>
    <w:rsid w:val="00C01288"/>
    <w:rPr>
      <w:rFonts w:ascii="Arial Black" w:hAnsi="Arial Black"/>
      <w:spacing w:val="-6"/>
      <w:sz w:val="18"/>
    </w:rPr>
  </w:style>
  <w:style w:type="paragraph" w:customStyle="1" w:styleId="Sous-titredesection">
    <w:name w:val="Sous-titre de section"/>
    <w:basedOn w:val="Titredesection"/>
    <w:next w:val="Normal"/>
    <w:rsid w:val="00C01288"/>
    <w:rPr>
      <w:i/>
      <w:caps w:val="0"/>
      <w:spacing w:val="10"/>
      <w:sz w:val="24"/>
    </w:rPr>
  </w:style>
  <w:style w:type="character" w:customStyle="1" w:styleId="Poste">
    <w:name w:val="Poste"/>
    <w:basedOn w:val="Policepardfaut"/>
    <w:rsid w:val="00C01288"/>
    <w:rPr>
      <w:lang w:val="fr-FR"/>
    </w:rPr>
  </w:style>
  <w:style w:type="paragraph" w:customStyle="1" w:styleId="Donnespersonnelles">
    <w:name w:val="Données personnelles"/>
    <w:basedOn w:val="Corpsdetexte"/>
    <w:rsid w:val="00C01288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Nomdesocit1">
    <w:name w:val="Nom de société 1"/>
    <w:basedOn w:val="Nomdesocit"/>
    <w:next w:val="Intitulduposte"/>
    <w:rsid w:val="00C01288"/>
    <w:pPr>
      <w:spacing w:before="60"/>
    </w:pPr>
  </w:style>
  <w:style w:type="paragraph" w:customStyle="1" w:styleId="Sanstitre">
    <w:name w:val="Sans titre"/>
    <w:basedOn w:val="Titredesection"/>
    <w:rsid w:val="00C01288"/>
    <w:pPr>
      <w:pBdr>
        <w:bottom w:val="none" w:sz="0" w:space="0" w:color="auto"/>
      </w:pBdr>
    </w:pPr>
  </w:style>
  <w:style w:type="character" w:customStyle="1" w:styleId="Retrait1religneCar">
    <w:name w:val="Retrait 1re ligne Car"/>
    <w:link w:val="Retrait1religne"/>
    <w:rsid w:val="007216DE"/>
    <w:rPr>
      <w:rFonts w:ascii="Garamond" w:hAnsi="Garamond"/>
      <w:sz w:val="22"/>
      <w:lang w:val="fr-FR" w:eastAsia="en-US"/>
    </w:rPr>
  </w:style>
  <w:style w:type="paragraph" w:customStyle="1" w:styleId="Default">
    <w:name w:val="Default"/>
    <w:rsid w:val="006F055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3E11CD"/>
    <w:rPr>
      <w:rFonts w:ascii="Garamond" w:hAnsi="Garamond"/>
      <w:caps/>
      <w:sz w:val="22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044353"/>
    <w:rPr>
      <w:b/>
      <w:bCs/>
    </w:rPr>
  </w:style>
  <w:style w:type="character" w:customStyle="1" w:styleId="CommentaireCar">
    <w:name w:val="Commentaire Car"/>
    <w:link w:val="Commentaire"/>
    <w:semiHidden/>
    <w:rsid w:val="00044353"/>
    <w:rPr>
      <w:rFonts w:ascii="Garamond" w:hAnsi="Garamond"/>
      <w:lang w:val="fr-FR" w:eastAsia="en-US"/>
    </w:rPr>
  </w:style>
  <w:style w:type="character" w:customStyle="1" w:styleId="ObjetducommentaireCar">
    <w:name w:val="Objet du commentaire Car"/>
    <w:link w:val="Objetducommentaire"/>
    <w:rsid w:val="00044353"/>
    <w:rPr>
      <w:rFonts w:ascii="Garamond" w:hAnsi="Garamond"/>
      <w:b/>
      <w:bCs/>
      <w:lang w:val="fr-FR" w:eastAsia="en-US"/>
    </w:rPr>
  </w:style>
  <w:style w:type="character" w:customStyle="1" w:styleId="il">
    <w:name w:val="il"/>
    <w:rsid w:val="007136D4"/>
  </w:style>
  <w:style w:type="paragraph" w:customStyle="1" w:styleId="Notedebasd1">
    <w:name w:val="Note de bas d1"/>
    <w:basedOn w:val="Normal"/>
    <w:semiHidden/>
    <w:rsid w:val="006E4405"/>
    <w:pPr>
      <w:jc w:val="left"/>
    </w:pPr>
    <w:rPr>
      <w:rFonts w:ascii="Times New Roman" w:eastAsia="MS Mincho" w:hAnsi="Times New Roman"/>
      <w:sz w:val="24"/>
      <w:szCs w:val="24"/>
      <w:lang w:val="fr-FR" w:eastAsia="fr-FR" w:bidi="fr-FR"/>
    </w:rPr>
  </w:style>
  <w:style w:type="character" w:customStyle="1" w:styleId="st">
    <w:name w:val="st"/>
    <w:basedOn w:val="Policepardfaut"/>
    <w:rsid w:val="00EC1F71"/>
  </w:style>
  <w:style w:type="character" w:customStyle="1" w:styleId="4n-j">
    <w:name w:val="_4n-j"/>
    <w:basedOn w:val="Policepardfaut"/>
    <w:rsid w:val="00D8664E"/>
  </w:style>
  <w:style w:type="paragraph" w:styleId="Paragraphedeliste">
    <w:name w:val="List Paragraph"/>
    <w:basedOn w:val="Normal"/>
    <w:uiPriority w:val="34"/>
    <w:qFormat/>
    <w:rsid w:val="00A804A1"/>
    <w:pPr>
      <w:ind w:left="720"/>
      <w:contextualSpacing/>
      <w:jc w:val="left"/>
    </w:pPr>
    <w:rPr>
      <w:rFonts w:ascii="Times New Roman" w:eastAsia="MS Mincho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.elberhoumi@usaintloui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Resume%20Wizard.w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F429-FFA3-C247-8CD5-FB9AFE79E90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Resume%20Wizard.wiz</Template>
  <TotalTime>0</TotalTime>
  <Pages>8</Pages>
  <Words>3240</Words>
  <Characters>17820</Characters>
  <Application>Microsoft Office Word</Application>
  <DocSecurity>0</DocSecurity>
  <PresentationFormat/>
  <Lines>148</Lines>
  <Paragraphs>42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Assistant Curriculum Vitæ</vt:lpstr>
    </vt:vector>
  </TitlesOfParts>
  <Manager/>
  <Company/>
  <LinksUpToDate>false</LinksUpToDate>
  <CharactersWithSpaces>21018</CharactersWithSpaces>
  <SharedDoc>false</SharedDoc>
  <HyperlinkBase/>
  <HLinks>
    <vt:vector size="6" baseType="variant">
      <vt:variant>
        <vt:i4>7667715</vt:i4>
      </vt:variant>
      <vt:variant>
        <vt:i4>0</vt:i4>
      </vt:variant>
      <vt:variant>
        <vt:i4>0</vt:i4>
      </vt:variant>
      <vt:variant>
        <vt:i4>5</vt:i4>
      </vt:variant>
      <vt:variant>
        <vt:lpwstr>mailto:mathias.elberhoumi@usaintlouis.BE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Curriculum Vitæ</dc:title>
  <dc:subject/>
  <dc:creator/>
  <cp:keywords/>
  <dc:description/>
  <cp:lastModifiedBy/>
  <cp:revision>1</cp:revision>
  <dcterms:created xsi:type="dcterms:W3CDTF">2017-04-11T07:59:00Z</dcterms:created>
  <dcterms:modified xsi:type="dcterms:W3CDTF">2017-07-27T14:22:00Z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